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FEFCF9"/>
  <w:body>
    <w:p>
      <w:pPr>
        <w:spacing w:after="40"/>
      </w:pPr>
      <w:r>
        <w:rPr>
          <w:rFonts w:ascii="JetBrains Mono" w:cs="JetBrains Mono" w:eastAsia="JetBrains Mono" w:hAnsi="JetBrains Mono"/>
          <w:b/>
          <w:bCs/>
          <w:color w:val="8A5F1F"/>
          <w:spacing w:val="30"/>
          <w:sz w:val="16"/>
          <w:szCs w:val="16"/>
        </w:rPr>
        <w:t xml:space="preserve">FIELD GUIDE</w:t>
      </w:r>
    </w:p>
    <w:p>
      <w:pPr>
        <w:spacing w:after="60" w:before="120"/>
      </w:pPr>
      <w:r>
        <w:rPr>
          <w:rFonts w:ascii="Fraunces" w:cs="Fraunces" w:eastAsia="Fraunces" w:hAnsi="Fraunces"/>
          <w:color w:val="14171C"/>
          <w:sz w:val="50"/>
          <w:szCs w:val="50"/>
        </w:rPr>
        <w:t xml:space="preserve">Weekly Event Sources for Micromobility Demand</w:t>
      </w:r>
    </w:p>
    <w:p>
      <w:pPr>
        <w:spacing w:after="260"/>
      </w:pPr>
      <w:r>
        <w:rPr>
          <w:rFonts w:ascii="Fraunces" w:cs="Fraunces" w:eastAsia="Fraunces" w:hAnsi="Fraunces"/>
          <w:i/>
          <w:iCs/>
          <w:color w:val="8A5F1F"/>
          <w:sz w:val="26"/>
          <w:szCs w:val="26"/>
        </w:rPr>
        <w:t xml:space="preserve">Columbus, Ohio</w:t>
      </w:r>
    </w:p>
    <w:p>
      <w:pPr>
        <w:spacing w:after="220"/>
      </w:pPr>
      <w:r>
        <w:rPr>
          <w:rFonts w:ascii="Inter" w:cs="Inter" w:eastAsia="Inter" w:hAnsi="Inter"/>
          <w:color w:val="5B6270"/>
          <w:sz w:val="23"/>
          <w:szCs w:val="23"/>
        </w:rPr>
        <w:t xml:space="preserve">A practical source directory for identifying scheduled events, overlapping demand, access constraints, and the conditions that shape weekly scooter and bicycle use.</w:t>
      </w:r>
    </w:p>
    <w:p>
      <w:pPr>
        <w:pBdr>
          <w:bottom w:val="single" w:color="DAD5C9" w:sz="4" w:space="12"/>
        </w:pBdr>
        <w:spacing w:after="360"/>
      </w:pPr>
      <w:r>
        <w:rPr>
          <w:rFonts w:ascii="JetBrains Mono" w:cs="JetBrains Mono" w:eastAsia="JetBrains Mono" w:hAnsi="JetBrains Mono"/>
          <w:color w:val="5B6270"/>
          <w:spacing w:val="20"/>
          <w:sz w:val="15"/>
          <w:szCs w:val="15"/>
        </w:rPr>
        <w:t xml:space="preserve">PREPARED 28 JULY 2026</w:t>
      </w: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How to use this guide</w:t>
      </w:r>
    </w:p>
    <w:p>
      <w:pPr>
        <w:spacing w:after="220"/>
      </w:pPr>
      <w:r>
        <w:rPr>
          <w:rFonts w:ascii="Inter" w:cs="Inter" w:eastAsia="Inter" w:hAnsi="Inter"/>
          <w:color w:val="14171C"/>
          <w:sz w:val="22"/>
          <w:szCs w:val="22"/>
        </w:rPr>
        <w:t xml:space="preserve">No single calendar captures Columbus demand. Build the weekly picture from three layers: broad discovery, authoritative venue and organizer schedules, and operating-condition sources such as closures, transit changes, and weather.</w:t>
      </w: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Priority source directory</w:t>
      </w:r>
    </w:p>
    <w:tbl>
      <w:tblPr>
        <w:tblW w:type="dxa" w:w="9360"/>
        <w:tblBorders>
          <w:top w:val="single" w:color="DAD5C9" w:sz="2"/>
          <w:left w:val="single" w:color="DAD5C9" w:sz="2"/>
          <w:bottom w:val="single" w:color="DAD5C9" w:sz="2"/>
          <w:right w:val="single" w:color="DAD5C9" w:sz="2"/>
          <w:insideH w:val="single" w:color="auto" w:sz="4"/>
          <w:insideV w:val="single" w:color="auto" w:sz="4"/>
        </w:tblBorders>
      </w:tblPr>
      <w:tblGrid>
        <w:gridCol w:w="1800"/>
        <w:gridCol w:w="3400"/>
        <w:gridCol w:w="4160"/>
      </w:tblGrid>
      <w:tr>
        <w:trPr>
          <w:tblHeader/>
        </w:trPr>
        <w:tc>
          <w:tcPr>
            <w:tcW w:type="dxa" w:w="1800"/>
            <w:shd w:fill="E8A33D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Layer</w:t>
            </w:r>
          </w:p>
        </w:tc>
        <w:tc>
          <w:tcPr>
            <w:tcW w:type="dxa" w:w="3400"/>
            <w:shd w:fill="E8A33D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Question answered</w:t>
            </w:r>
          </w:p>
        </w:tc>
        <w:tc>
          <w:tcPr>
            <w:tcW w:type="dxa" w:w="4160"/>
            <w:shd w:fill="E8A33D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Recommended use</w:t>
            </w:r>
          </w:p>
        </w:tc>
      </w:tr>
      <w:tr>
        <w:tc>
          <w:tcPr>
            <w:tcW w:type="dxa" w:w="1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Discovery</w:t>
            </w:r>
          </w:p>
        </w:tc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What is happening?</w:t>
            </w:r>
          </w:p>
        </w:tc>
        <w:tc>
          <w:tcPr>
            <w:tcW w:type="dxa" w:w="41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Find candidate events across the city.</w:t>
            </w:r>
          </w:p>
        </w:tc>
      </w:tr>
      <w:tr>
        <w:tc>
          <w:tcPr>
            <w:tcW w:type="dxa" w:w="180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Authority</w:t>
            </w:r>
          </w:p>
        </w:tc>
        <w:tc>
          <w:tcPr>
            <w:tcW w:type="dxa" w:w="340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When and where is it happening?</w:t>
            </w:r>
          </w:p>
        </w:tc>
        <w:tc>
          <w:tcPr>
            <w:tcW w:type="dxa" w:w="41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Confirm dates, times, venue, status, and scale.</w:t>
            </w:r>
          </w:p>
        </w:tc>
      </w:tr>
      <w:tr>
        <w:tc>
          <w:tcPr>
            <w:tcW w:type="dxa" w:w="18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Conditions</w:t>
            </w:r>
          </w:p>
        </w:tc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Will people ride—and can they access the area?</w:t>
            </w:r>
          </w:p>
        </w:tc>
        <w:tc>
          <w:tcPr>
            <w:tcW w:type="dxa" w:w="41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Adjust for weather, street closures, transit, and overlapping events.</w:t>
            </w:r>
          </w:p>
        </w:tc>
      </w:tr>
    </w:tbl>
    <w:p>
      <w:pPr>
        <w:spacing w:after="320"/>
      </w:pP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Venue and sports schedules</w:t>
      </w:r>
    </w:p>
    <w:p>
      <w:pPr>
        <w:spacing w:after="140" w:before="40"/>
      </w:pPr>
      <w:r>
        <w:rPr>
          <w:rFonts w:ascii="JetBrains Mono" w:cs="JetBrains Mono" w:eastAsia="JetBrains Mono" w:hAnsi="JetBrains Mono"/>
          <w:b/>
          <w:bCs/>
          <w:color w:val="8A5F1F"/>
          <w:spacing w:val="24"/>
          <w:sz w:val="15"/>
          <w:szCs w:val="15"/>
        </w:rPr>
        <w:t xml:space="preserve">OPS TRACK</w:t>
      </w:r>
    </w:p>
    <w:p>
      <w:pPr>
        <w:spacing w:after="220"/>
      </w:pPr>
      <w:r>
        <w:rPr>
          <w:rFonts w:ascii="Inter" w:cs="Inter" w:eastAsia="Inter" w:hAnsi="Inter"/>
          <w:color w:val="14171C"/>
          <w:sz w:val="22"/>
          <w:szCs w:val="22"/>
        </w:rPr>
        <w:t xml:space="preserve">Use official schedules to confirm event status and timing. Home games, concerts, and touring productions produce concentrated arrival and departure waves that broad aggregators may describe incompletely.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Schottenstein Center — OSU-area concerts, basketball, hockey, and touring events.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Columbus Clippers — Huntington Park home games and promotions.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Ohio State Athletics — Football and other campus sports; classify home football separately as very high impact.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Columbus Crew — Lower.com Field home matches.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Columbus Blue Jackets — Nationwide Arena home games.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CAPA — Downtown theatre and performing-arts events.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PromoWest — KEMBA Live!, Newport Music Hall, and related concerts.</w:t>
      </w: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Discovery and cross-check sources</w:t>
      </w:r>
    </w:p>
    <w:p>
      <w:pPr>
        <w:spacing w:after="140" w:before="40"/>
      </w:pPr>
      <w:r>
        <w:rPr>
          <w:rFonts w:ascii="JetBrains Mono" w:cs="JetBrains Mono" w:eastAsia="JetBrains Mono" w:hAnsi="JetBrains Mono"/>
          <w:b/>
          <w:bCs/>
          <w:color w:val="1F6B63"/>
          <w:spacing w:val="24"/>
          <w:sz w:val="15"/>
          <w:szCs w:val="15"/>
        </w:rPr>
        <w:t xml:space="preserve">SYS TRACK</w:t>
      </w:r>
    </w:p>
    <w:p>
      <w:pPr>
        <w:spacing w:after="220"/>
      </w:pPr>
      <w:r>
        <w:rPr>
          <w:rFonts w:ascii="Inter" w:cs="Inter" w:eastAsia="Inter" w:hAnsi="Inter"/>
          <w:color w:val="14171C"/>
          <w:sz w:val="22"/>
          <w:szCs w:val="22"/>
        </w:rPr>
        <w:t xml:space="preserve">Discovery sources are leads, not final authority. Confirm the location, start time, cancellation status, and organizer on an official page before scoring demand.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Eventbrite Columbus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Ticketmaster Columbus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Bandsintown Columbus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Facebook Events and individual organizer pages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Columbus Underground and Axios Columbus weekend coverage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Recurring r/Columbus “Things to Do” posts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Neighborhood and suburban downtown calendars</w:t>
      </w:r>
    </w:p>
    <w:tbl>
      <w:tblPr>
        <w:tblW w:type="dxa" w:w="9360"/>
        <w:tblBorders>
          <w:top w:val="single" w:color="DAD5C9" w:sz="2"/>
          <w:left w:val="single" w:color="DAD5C9" w:sz="2"/>
          <w:bottom w:val="single" w:color="DAD5C9" w:sz="2"/>
          <w:right w:val="single" w:color="DAD5C9" w:sz="2"/>
          <w:insideH w:val="single" w:color="auto" w:sz="4"/>
          <w:insideV w:val="single" w:color="auto" w:sz="4"/>
        </w:tblBorders>
      </w:tblPr>
      <w:tblGrid>
        <w:gridCol w:w="520"/>
        <w:gridCol w:w="2560"/>
        <w:gridCol w:w="2660"/>
        <w:gridCol w:w="3620"/>
      </w:tblGrid>
      <w:tr>
        <w:trPr>
          <w:tblHeader/>
        </w:trPr>
        <w:tc>
          <w:tcPr>
            <w:tcW w:type="dxa" w:w="520"/>
            <w:shd w:fill="4FD1C5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#</w:t>
            </w:r>
          </w:p>
        </w:tc>
        <w:tc>
          <w:tcPr>
            <w:tcW w:type="dxa" w:w="2560"/>
            <w:shd w:fill="4FD1C5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Source</w:t>
            </w:r>
          </w:p>
        </w:tc>
        <w:tc>
          <w:tcPr>
            <w:tcW w:type="dxa" w:w="2660"/>
            <w:shd w:fill="4FD1C5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Coverage</w:t>
            </w:r>
          </w:p>
        </w:tc>
        <w:tc>
          <w:tcPr>
            <w:tcW w:type="dxa" w:w="3620"/>
            <w:shd w:fill="4FD1C5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Why it matters</w:t>
            </w:r>
          </w:p>
        </w:tc>
      </w:tr>
      <w:tr>
        <w:tc>
          <w:tcPr>
            <w:tcW w:type="dxa" w:w="52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1</w:t>
            </w:r>
          </w:p>
        </w:tc>
        <w:tc>
          <w:tcPr>
            <w:tcW w:type="dxa" w:w="25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Experience Columbus</w:t>
            </w:r>
          </w:p>
        </w:tc>
        <w:tc>
          <w:tcPr>
            <w:tcW w:type="dxa" w:w="26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Broad citywide discovery</w:t>
            </w:r>
          </w:p>
        </w:tc>
        <w:tc>
          <w:tcPr>
            <w:tcW w:type="dxa" w:w="362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Best first pass for festivals, concerts, sports, and community events.</w:t>
            </w:r>
          </w:p>
        </w:tc>
      </w:tr>
      <w:tr>
        <w:tc>
          <w:tcPr>
            <w:tcW w:type="dxa" w:w="52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2</w:t>
            </w:r>
          </w:p>
        </w:tc>
        <w:tc>
          <w:tcPr>
            <w:tcW w:type="dxa" w:w="25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City special-event public calendar</w:t>
            </w:r>
          </w:p>
        </w:tc>
        <w:tc>
          <w:tcPr>
            <w:tcW w:type="dxa" w:w="26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Permits and street use</w:t>
            </w:r>
          </w:p>
        </w:tc>
        <w:tc>
          <w:tcPr>
            <w:tcW w:type="dxa" w:w="362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High-value source for races, parades, festivals, and events affecting the right-of-way.</w:t>
            </w:r>
          </w:p>
        </w:tc>
      </w:tr>
      <w:tr>
        <w:tc>
          <w:tcPr>
            <w:tcW w:type="dxa" w:w="52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3</w:t>
            </w:r>
          </w:p>
        </w:tc>
        <w:tc>
          <w:tcPr>
            <w:tcW w:type="dxa" w:w="25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Downtown Columbus</w:t>
            </w:r>
          </w:p>
        </w:tc>
        <w:tc>
          <w:tcPr>
            <w:tcW w:type="dxa" w:w="26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Downtown and riverfront</w:t>
            </w:r>
          </w:p>
        </w:tc>
        <w:tc>
          <w:tcPr>
            <w:tcW w:type="dxa" w:w="362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Captures programming in the highest-density central operating area.</w:t>
            </w:r>
          </w:p>
        </w:tc>
      </w:tr>
      <w:tr>
        <w:tc>
          <w:tcPr>
            <w:tcW w:type="dxa" w:w="52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4</w:t>
            </w:r>
          </w:p>
        </w:tc>
        <w:tc>
          <w:tcPr>
            <w:tcW w:type="dxa" w:w="25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Arena District</w:t>
            </w:r>
          </w:p>
        </w:tc>
        <w:tc>
          <w:tcPr>
            <w:tcW w:type="dxa" w:w="26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Overlapping large events</w:t>
            </w:r>
          </w:p>
        </w:tc>
        <w:tc>
          <w:tcPr>
            <w:tcW w:type="dxa" w:w="362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Useful for spotting simultaneous arena, stadium, ballpark, and concert demand.</w:t>
            </w:r>
          </w:p>
        </w:tc>
      </w:tr>
      <w:tr>
        <w:tc>
          <w:tcPr>
            <w:tcW w:type="dxa" w:w="52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5</w:t>
            </w:r>
          </w:p>
        </w:tc>
        <w:tc>
          <w:tcPr>
            <w:tcW w:type="dxa" w:w="25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Short North Arts District</w:t>
            </w:r>
          </w:p>
        </w:tc>
        <w:tc>
          <w:tcPr>
            <w:tcW w:type="dxa" w:w="26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District events and nightlife</w:t>
            </w:r>
          </w:p>
        </w:tc>
        <w:tc>
          <w:tcPr>
            <w:tcW w:type="dxa" w:w="362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Important for evening, weekend, and Gallery Hop demand.</w:t>
            </w:r>
          </w:p>
        </w:tc>
      </w:tr>
      <w:tr>
        <w:tc>
          <w:tcPr>
            <w:tcW w:type="dxa" w:w="52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6</w:t>
            </w:r>
          </w:p>
        </w:tc>
        <w:tc>
          <w:tcPr>
            <w:tcW w:type="dxa" w:w="25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Columbus Recreation and Parks</w:t>
            </w:r>
          </w:p>
        </w:tc>
        <w:tc>
          <w:tcPr>
            <w:tcW w:type="dxa" w:w="26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Parks, races, and neighborhood events</w:t>
            </w:r>
          </w:p>
        </w:tc>
        <w:tc>
          <w:tcPr>
            <w:tcW w:type="dxa" w:w="362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Adds distributed events that may not appear in commercial calendars.</w:t>
            </w:r>
          </w:p>
        </w:tc>
      </w:tr>
      <w:tr>
        <w:tc>
          <w:tcPr>
            <w:tcW w:type="dxa" w:w="52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7</w:t>
            </w:r>
          </w:p>
        </w:tc>
        <w:tc>
          <w:tcPr>
            <w:tcW w:type="dxa" w:w="25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Greater Columbus Convention Center</w:t>
            </w:r>
          </w:p>
        </w:tc>
        <w:tc>
          <w:tcPr>
            <w:tcW w:type="dxa" w:w="26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Conventions and competitions</w:t>
            </w:r>
          </w:p>
        </w:tc>
        <w:tc>
          <w:tcPr>
            <w:tcW w:type="dxa" w:w="362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Multi-day events can create morning, lunch, and evening peaks.</w:t>
            </w:r>
          </w:p>
        </w:tc>
      </w:tr>
      <w:tr>
        <w:tc>
          <w:tcPr>
            <w:tcW w:type="dxa" w:w="52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8</w:t>
            </w:r>
          </w:p>
        </w:tc>
        <w:tc>
          <w:tcPr>
            <w:tcW w:type="dxa" w:w="25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Ohio Expo Center</w:t>
            </w:r>
          </w:p>
        </w:tc>
        <w:tc>
          <w:tcPr>
            <w:tcW w:type="dxa" w:w="26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Fairgrounds and major shows</w:t>
            </w:r>
          </w:p>
        </w:tc>
        <w:tc>
          <w:tcPr>
            <w:tcW w:type="dxa" w:w="362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More than 200 annual events; essential for the 17th Avenue corridor.</w:t>
            </w:r>
          </w:p>
        </w:tc>
      </w:tr>
    </w:tbl>
    <w:p>
      <w:pPr>
        <w:spacing w:after="320"/>
      </w:pP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Demand-modifying sources</w:t>
      </w:r>
    </w:p>
    <w:p>
      <w:pPr>
        <w:spacing w:after="140" w:before="40"/>
      </w:pPr>
      <w:r>
        <w:rPr>
          <w:rFonts w:ascii="JetBrains Mono" w:cs="JetBrains Mono" w:eastAsia="JetBrains Mono" w:hAnsi="JetBrains Mono"/>
          <w:b/>
          <w:bCs/>
          <w:color w:val="8A5F1F"/>
          <w:spacing w:val="24"/>
          <w:sz w:val="15"/>
          <w:szCs w:val="15"/>
        </w:rPr>
        <w:t xml:space="preserve">OPS TRACK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OHGO — Planned closures, construction, incidents, and traffic conditions.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COTA service alerts — Transit disruptions that can redirect, increase, or suppress micromobility trips.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Ohio State academic calendar — Move-in, commencement, breaks, and the start or end of classes.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National Weather Service — Temperature, precipitation, wind, and severe-weather risk.</w:t>
      </w: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Weekly operating workflow</w:t>
      </w:r>
    </w:p>
    <w:p>
      <w:pPr>
        <w:spacing w:after="220"/>
      </w:pPr>
      <w:r>
        <w:rPr>
          <w:rFonts w:ascii="Inter" w:cs="Inter" w:eastAsia="Inter" w:hAnsi="Inter"/>
          <w:color w:val="14171C"/>
          <w:sz w:val="22"/>
          <w:szCs w:val="22"/>
        </w:rPr>
        <w:t xml:space="preserve">Recommended collection window: Review Monday through the following Sunday, then refresh high-impact events 24 hours before they begin.</w:t>
      </w:r>
    </w:p>
    <w:p>
      <w:pPr>
        <w:pStyle w:val="ListParagraph"/>
        <w:numPr>
          <w:ilvl w:val="0"/>
          <w:numId w:val="4"/>
        </w:numPr>
        <w:spacing w:after="15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Discover: Scan Experience Columbus, Downtown Columbus, neighborhood calendars, and discovery platforms.</w:t>
      </w:r>
    </w:p>
    <w:p>
      <w:pPr>
        <w:pStyle w:val="ListParagraph"/>
        <w:numPr>
          <w:ilvl w:val="0"/>
          <w:numId w:val="4"/>
        </w:numPr>
        <w:spacing w:after="15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Confirm: Use the venue, league, organizer, or permit page to verify time, location, duration, and status.</w:t>
      </w:r>
    </w:p>
    <w:p>
      <w:pPr>
        <w:pStyle w:val="ListParagraph"/>
        <w:numPr>
          <w:ilvl w:val="0"/>
          <w:numId w:val="4"/>
        </w:numPr>
        <w:spacing w:after="15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Locate: Geocode the venue and identify nearby parking zones, transit stops, and likely approach routes.</w:t>
      </w:r>
    </w:p>
    <w:p>
      <w:pPr>
        <w:pStyle w:val="ListParagraph"/>
        <w:numPr>
          <w:ilvl w:val="0"/>
          <w:numId w:val="4"/>
        </w:numPr>
        <w:spacing w:after="15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Estimate: Record attendance or venue capacity, event type, and likely arrival and departure windows.</w:t>
      </w:r>
    </w:p>
    <w:p>
      <w:pPr>
        <w:pStyle w:val="ListParagraph"/>
        <w:numPr>
          <w:ilvl w:val="0"/>
          <w:numId w:val="4"/>
        </w:numPr>
        <w:spacing w:after="15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Adjust: Apply weather, closures, transit disruptions, campus conditions, and recurring day-of-week patterns.</w:t>
      </w:r>
    </w:p>
    <w:p>
      <w:pPr>
        <w:pStyle w:val="ListParagraph"/>
        <w:numPr>
          <w:ilvl w:val="0"/>
          <w:numId w:val="4"/>
        </w:numPr>
        <w:spacing w:after="15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Detect overlap: Flag simultaneous events within roughly one mile, especially around the Convention Center, Short North, and Arena District.</w:t>
      </w: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Minimum event record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Event name and category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Authoritative source URL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Venue and coordinates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Doors-open, start, and expected end time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Estimated attendance or venue capacity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Indoor or outdoor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Free or ticketed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Street closures and course footprint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Expected arrival and departure windows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Nearby parking zones and transit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Inter" w:cs="Inter" w:eastAsia="Inter" w:hAnsi="Inter"/>
          <w:color w:val="14171C"/>
          <w:sz w:val="21"/>
          <w:szCs w:val="21"/>
        </w:rPr>
        <w:t xml:space="preserve">Overlapping events within roughly one mile</w:t>
      </w: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Companion database</w:t>
      </w:r>
    </w:p>
    <w:p>
      <w:pPr>
        <w:spacing w:after="220"/>
      </w:pPr>
      <w:r>
        <w:rPr>
          <w:rFonts w:ascii="Inter" w:cs="Inter" w:eastAsia="Inter" w:hAnsi="Inter"/>
          <w:color w:val="14171C"/>
          <w:sz w:val="22"/>
          <w:szCs w:val="22"/>
        </w:rPr>
        <w:t xml:space="preserve">This guide is now backed by a live workbook — Columbus_Micromobility_Events_Historical_2024-2026.xlsx — that operationalizes the minimum event record above into a queryable history plus a forward-looking projection, all keyed to ISO year and week so demand can be compared week-over-week and year-over-year.</w:t>
      </w:r>
    </w:p>
    <w:p>
      <w:pPr>
        <w:spacing w:after="140" w:before="40"/>
      </w:pPr>
      <w:r>
        <w:rPr>
          <w:rFonts w:ascii="JetBrains Mono" w:cs="JetBrains Mono" w:eastAsia="JetBrains Mono" w:hAnsi="JetBrains Mono"/>
          <w:b/>
          <w:bCs/>
          <w:color w:val="1F6B63"/>
          <w:spacing w:val="24"/>
          <w:sz w:val="15"/>
          <w:szCs w:val="15"/>
        </w:rPr>
        <w:t xml:space="preserve">WORKBOOK CONTENTS</w:t>
      </w:r>
    </w:p>
    <w:tbl>
      <w:tblPr>
        <w:tblW w:type="dxa" w:w="9160"/>
        <w:tblBorders>
          <w:top w:val="single" w:color="DAD5C9" w:sz="2"/>
          <w:left w:val="single" w:color="DAD5C9" w:sz="2"/>
          <w:bottom w:val="single" w:color="DAD5C9" w:sz="2"/>
          <w:right w:val="single" w:color="DAD5C9" w:sz="2"/>
          <w:insideH w:val="single" w:color="auto" w:sz="4"/>
          <w:insideV w:val="single" w:color="auto" w:sz="4"/>
        </w:tblBorders>
      </w:tblPr>
      <w:tblGrid>
        <w:gridCol w:w="2200"/>
        <w:gridCol w:w="6960"/>
      </w:tblGrid>
      <w:tr>
        <w:trPr>
          <w:tblHeader/>
        </w:trPr>
        <w:tc>
          <w:tcPr>
            <w:tcW w:type="dxa" w:w="2200"/>
            <w:shd w:fill="4FD1C5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Tab</w:t>
            </w:r>
          </w:p>
        </w:tc>
        <w:tc>
          <w:tcPr>
            <w:tcW w:type="dxa" w:w="6960"/>
            <w:shd w:fill="4FD1C5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JetBrains Mono" w:cs="JetBrains Mono" w:eastAsia="JetBrains Mono" w:hAnsi="JetBrains Mono"/>
                <w:b/>
                <w:bCs/>
                <w:color w:val="14171C"/>
                <w:spacing w:val="12"/>
                <w:sz w:val="16"/>
                <w:szCs w:val="16"/>
              </w:rPr>
              <w:t xml:space="preserve">Contents</w:t>
            </w:r>
          </w:p>
        </w:tc>
      </w:tr>
      <w:tr>
        <w:tc>
          <w:tcPr>
            <w:tcW w:type="dxa" w:w="2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Events</w:t>
            </w:r>
          </w:p>
        </w:tc>
        <w:tc>
          <w:tcPr>
            <w:tcW w:type="dxa" w:w="69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251 dated records, 2024-2026 to date: OSU football, Blue Jackets, Crew, and Clippers home schedules; Arnold Sports Festival, Comfest, Red White &amp; BOOM, Doo Dah, Ohio State Fair, the Marathon, Origins/GalaxyCon, and major arena concerts. Each row carries ISO year, ISO week, venue, ops/sys track, attendance, and a Played/Scheduled/Estimated/Projected/Unconfirmed status.</w:t>
            </w:r>
          </w:p>
        </w:tc>
      </w:tr>
      <w:tr>
        <w:tc>
          <w:tcPr>
            <w:tcW w:type="dxa" w:w="220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Weekly Summary</w:t>
            </w:r>
          </w:p>
        </w:tc>
        <w:tc>
          <w:tcPr>
            <w:tcW w:type="dxa" w:w="69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Event count and attendance per ISO week for 2024, 2025, and 2026, with live week-over-week and year-over-year delta formulas.</w:t>
            </w:r>
          </w:p>
        </w:tc>
      </w:tr>
      <w:tr>
        <w:tc>
          <w:tcPr>
            <w:tcW w:type="dxa" w:w="2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2026 Projection</w:t>
            </w:r>
          </w:p>
        </w:tc>
        <w:tc>
          <w:tcPr>
            <w:tcW w:type="dxa" w:w="69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For every ISO week remaining in 2026: a 2-year (2024/2025) baseline event count, what's already confirmed, and a projected gap-fill for likely unannounced demand.</w:t>
            </w:r>
          </w:p>
        </w:tc>
      </w:tr>
      <w:tr>
        <w:tc>
          <w:tcPr>
            <w:tcW w:type="dxa" w:w="220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Weather (Historical)</w:t>
            </w:r>
          </w:p>
        </w:tc>
        <w:tc>
          <w:tcPr>
            <w:tcW w:type="dxa" w:w="69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Weekly avg high/low, precipitation, snowfall, and a severe-weather-day flag for 2024 through the current week, from Open-Meteo's historical archive for the Columbus area.</w:t>
            </w:r>
          </w:p>
        </w:tc>
      </w:tr>
      <w:tr>
        <w:tc>
          <w:tcPr>
            <w:tcW w:type="dxa" w:w="220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2026 Weather Projection</w:t>
            </w:r>
          </w:p>
        </w:tc>
        <w:tc>
          <w:tcPr>
            <w:tcW w:type="dxa" w:w="6960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NOAA 1991-2020 climate normals for Port Columbus (KCMH) by ISO week, blended with 2024/2025 actuals, for every remaining week of 2026.</w:t>
            </w:r>
          </w:p>
        </w:tc>
      </w:tr>
      <w:tr>
        <w:tc>
          <w:tcPr>
            <w:tcW w:type="dxa" w:w="220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Data Gaps &amp; Assumptions</w:t>
            </w:r>
          </w:p>
        </w:tc>
        <w:tc>
          <w:tcPr>
            <w:tcW w:type="dxa" w:w="6960"/>
            <w:shd w:fill="F6F3EC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14171C"/>
                <w:sz w:val="19"/>
                <w:szCs w:val="19"/>
              </w:rPr>
              <w:t xml:space="preserve">Every placeholder, estimate, and unconfirmed date in the workbook, with the reasoning and what to verify before relying on it.</w:t>
            </w:r>
          </w:p>
        </w:tc>
      </w:tr>
    </w:tbl>
    <w:p>
      <w:pPr>
        <w:spacing w:after="200"/>
      </w:pPr>
    </w:p>
    <w:p>
      <w:pPr>
        <w:spacing w:after="220"/>
      </w:pPr>
      <w:r>
        <w:rPr>
          <w:rFonts w:ascii="Inter" w:cs="Inter" w:eastAsia="Inter" w:hAnsi="Inter"/>
          <w:color w:val="14171C"/>
          <w:sz w:val="22"/>
          <w:szCs w:val="22"/>
        </w:rPr>
        <w:t xml:space="preserve">Use the workbook for the numbers — this guide stays the reference for where to find and verify them each week.</w:t>
      </w:r>
    </w:p>
    <w:p>
      <w:pPr>
        <w:pStyle w:val="Heading1"/>
        <w:pBdr>
          <w:bottom w:val="single" w:color="DAD5C9" w:sz="4" w:space="8"/>
        </w:pBdr>
        <w:spacing w:after="200" w:before="520"/>
      </w:pPr>
      <w:r>
        <w:rPr>
          <w:rFonts w:ascii="Fraunces" w:cs="Fraunces" w:eastAsia="Fraunces" w:hAnsi="Fraunces"/>
          <w:b w:val="false"/>
          <w:bCs w:val="false"/>
          <w:color w:val="14171C"/>
          <w:sz w:val="30"/>
          <w:szCs w:val="30"/>
        </w:rPr>
        <w:t xml:space="preserve">Simple impact model</w:t>
      </w:r>
    </w:p>
    <w:p>
      <w:pPr>
        <w:pBdr>
          <w:top w:val="single" w:color="E8A33D" w:sz="4" w:space="10"/>
          <w:bottom w:val="single" w:color="E8A33D" w:sz="4" w:space="10"/>
        </w:pBdr>
        <w:spacing w:after="240" w:before="80"/>
        <w:jc w:val="center"/>
      </w:pPr>
      <w:r>
        <w:rPr>
          <w:rFonts w:ascii="JetBrains Mono" w:cs="JetBrains Mono" w:eastAsia="JetBrains Mono" w:hAnsi="JetBrains Mono"/>
          <w:b/>
          <w:bCs/>
          <w:color w:val="8A5F1F"/>
          <w:spacing w:val="6"/>
          <w:sz w:val="17"/>
          <w:szCs w:val="17"/>
        </w:rPr>
        <w:t xml:space="preserve">IMPACT  =  ATTENDANCE  ×  PROXIMITY  ×  MICROMOBILITY SUITABILITY  ×  WEATHER  ×  EVENT OVERLAP</w:t>
      </w:r>
    </w:p>
    <w:p>
      <w:pPr>
        <w:spacing w:after="220"/>
      </w:pPr>
      <w:r>
        <w:rPr>
          <w:rFonts w:ascii="Inter" w:cs="Inter" w:eastAsia="Inter" w:hAnsi="Inter"/>
          <w:color w:val="14171C"/>
          <w:sz w:val="22"/>
          <w:szCs w:val="22"/>
        </w:rPr>
        <w:t xml:space="preserve">Operational takeaway. The strongest early-warning signal is often a cluster rather than a single event—for example, a convention, arena event, and Short North activity ending within the same two-hour window.</w:t>
      </w:r>
    </w:p>
    <w:p>
      <w:pPr>
        <w:pBdr>
          <w:top w:val="single" w:color="DAD5C9" w:sz="4"/>
          <w:bottom w:val="single" w:color="DAD5C9" w:sz="4"/>
          <w:left w:val="single" w:color="DAD5C9" w:sz="4"/>
          <w:right w:val="single" w:color="DAD5C9" w:sz="4"/>
        </w:pBdr>
        <w:shd w:fill="F6F3EC" w:color="auto" w:val="clear"/>
        <w:spacing w:before="400"/>
      </w:pPr>
      <w:r>
        <w:rPr>
          <w:rFonts w:ascii="JetBrains Mono" w:cs="JetBrains Mono" w:eastAsia="JetBrains Mono" w:hAnsi="JetBrains Mono"/>
          <w:b/>
          <w:bCs/>
          <w:color w:val="1F6B63"/>
          <w:spacing w:val="20"/>
          <w:sz w:val="15"/>
          <w:szCs w:val="15"/>
        </w:rPr>
        <w:t xml:space="preserve">  QUALITY CONTROL</w:t>
      </w:r>
    </w:p>
    <w:p>
      <w:pPr>
        <w:pBdr>
          <w:bottom w:val="single" w:color="DAD5C9" w:sz="4"/>
          <w:left w:val="single" w:color="DAD5C9" w:sz="4"/>
          <w:right w:val="single" w:color="DAD5C9" w:sz="4"/>
        </w:pBdr>
        <w:shd w:fill="F6F3EC" w:color="auto" w:val="clear"/>
        <w:spacing w:after="40"/>
      </w:pPr>
      <w:r>
        <w:rPr>
          <w:rFonts w:ascii="Inter" w:cs="Inter" w:eastAsia="Inter" w:hAnsi="Inter"/>
          <w:color w:val="5B6270"/>
          <w:sz w:val="20"/>
          <w:szCs w:val="20"/>
        </w:rPr>
        <w:t xml:space="preserve">  Prefer official sources; retain the page URL and collection timestamp; deduplicate by event, venue, and start time; treat aggregator popularity as directional; and refresh weather-exposed or changeable events near launch. Links were reviewed 28 July 2026.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AD5C9" w:sz="2" w:space="6"/>
      </w:pBdr>
      <w:tabs>
        <w:tab w:val="right" w:pos="9026"/>
      </w:tabs>
    </w:pPr>
    <w:r>
      <w:rPr>
        <w:rFonts w:ascii="JetBrains Mono" w:cs="JetBrains Mono" w:eastAsia="JetBrains Mono" w:hAnsi="JetBrains Mono"/>
        <w:color w:val="5B6270"/>
        <w:spacing w:val="10"/>
        <w:sz w:val="13"/>
        <w:szCs w:val="13"/>
      </w:rPr>
      <w:t xml:space="preserve">MICROMOBILITY DEMAND SOURCES</w:t>
    </w:r>
    <w:r>
      <w:rPr>
        <w:rFonts w:ascii="JetBrains Mono" w:cs="JetBrains Mono" w:eastAsia="JetBrains Mono" w:hAnsi="JetBrains Mono"/>
        <w:color w:val="5B6270"/>
        <w:sz w:val="13"/>
        <w:szCs w:val="13"/>
      </w:rPr>
      <w:t xml:space="preserve">	PAGE </w:t>
    </w:r>
    <w:r>
      <w:rPr>
        <w:rFonts w:ascii="JetBrains Mono" w:cs="JetBrains Mono" w:eastAsia="JetBrains Mono" w:hAnsi="JetBrains Mono"/>
        <w:color w:val="5B6270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JetBrains Mono" w:cs="JetBrains Mono" w:eastAsia="JetBrains Mono" w:hAnsi="JetBrains Mono"/>
        <w:color w:val="5B6270"/>
        <w:sz w:val="13"/>
        <w:szCs w:val="13"/>
      </w:rPr>
      <w:t xml:space="preserve"> / </w:t>
    </w:r>
    <w:r>
      <w:rPr>
        <w:rFonts w:ascii="JetBrains Mono" w:cs="JetBrains Mono" w:eastAsia="JetBrains Mono" w:hAnsi="JetBrains Mono"/>
        <w:color w:val="5B6270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AD5C9" w:sz="2" w:space="6"/>
      </w:pBdr>
      <w:tabs>
        <w:tab w:val="right" w:pos="9026"/>
      </w:tabs>
    </w:pPr>
    <w:r>
      <w:rPr>
        <w:rFonts w:ascii="JetBrains Mono" w:cs="JetBrains Mono" w:eastAsia="JetBrains Mono" w:hAnsi="JetBrains Mono"/>
        <w:b/>
        <w:bCs/>
        <w:color w:val="14171C"/>
        <w:spacing w:val="16"/>
        <w:sz w:val="14"/>
        <w:szCs w:val="14"/>
      </w:rPr>
      <w:t xml:space="preserve">STEVEN NEEDHAM</w:t>
    </w:r>
    <w:r>
      <w:rPr>
        <w:rFonts w:ascii="JetBrains Mono" w:cs="JetBrains Mono" w:eastAsia="JetBrains Mono" w:hAnsi="JetBrains Mono"/>
        <w:color w:val="5B6270"/>
        <w:spacing w:val="12"/>
        <w:sz w:val="14"/>
        <w:szCs w:val="14"/>
      </w:rPr>
      <w:t xml:space="preserve">  —  MOBILITY OPS &amp; PPP</w:t>
    </w:r>
    <w:r>
      <w:rPr>
        <w:rFonts w:ascii="JetBrains Mono" w:cs="JetBrains Mono" w:eastAsia="JetBrains Mono" w:hAnsi="JetBrains Mono"/>
        <w:color w:val="5B6270"/>
        <w:spacing w:val="12"/>
        <w:sz w:val="14"/>
        <w:szCs w:val="14"/>
      </w:rPr>
      <w:t xml:space="preserve">	COLUMBUS FIELD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60" w:hanging="260"/>
      </w:pPr>
      <w:rPr>
        <w:rFonts w:ascii="JetBrains Mono" w:cs="JetBrains Mono" w:eastAsia="JetBrains Mono" w:hAnsi="JetBrains Mono"/>
        <w:color w:val="8A5F1F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60" w:hanging="260"/>
      </w:pPr>
      <w:rPr>
        <w:rFonts w:ascii="JetBrains Mono" w:cs="JetBrains Mono" w:eastAsia="JetBrains Mono" w:hAnsi="JetBrains Mono"/>
        <w:color w:val="1F6B63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60" w:hanging="260"/>
      </w:pPr>
      <w:rPr>
        <w:rFonts w:ascii="JetBrains Mono" w:cs="JetBrains Mono" w:eastAsia="JetBrains Mono" w:hAnsi="JetBrains Mono"/>
        <w:color w:val="5B6270"/>
      </w:r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60"/>
      </w:pPr>
      <w:rPr>
        <w:rFonts w:ascii="JetBrains Mono" w:cs="JetBrains Mono" w:eastAsia="JetBrains Mono" w:hAnsi="JetBrains Mono"/>
        <w:b/>
        <w:bCs/>
        <w:color w:val="8A5F1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4171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200" w:before="480"/>
    </w:pPr>
    <w:rPr>
      <w:rFonts w:ascii="Fraunces" w:cs="Fraunces" w:eastAsia="Fraunces" w:hAnsi="Fraunces"/>
      <w:b w:val="false"/>
      <w:bCs w:val="false"/>
      <w:color w:val="14171C"/>
      <w:sz w:val="30"/>
      <w:szCs w:val="30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2026-07-29T03:22:18.772Z</dcterms:created>
  <dcterms:modified xsi:type="dcterms:W3CDTF">2026-07-29T03:22:18.776Z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