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after="280"/>
        <w:jc w:val="center"/>
      </w:pPr>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field-ledger-mark.png"/>
                    <pic:cNvPicPr/>
                  </pic:nvPicPr>
                  <pic:blipFill>
                    <a:blip r:embed="rId11"/>
                    <a:stretch>
                      <a:fillRect/>
                    </a:stretch>
                  </pic:blipFill>
                  <pic:spPr>
                    <a:xfrm>
                      <a:off x="0" y="0"/>
                      <a:ext cx="530352" cy="530352"/>
                    </a:xfrm>
                    <a:prstGeom prst="rect"/>
                  </pic:spPr>
                </pic:pic>
              </a:graphicData>
            </a:graphic>
          </wp:inline>
        </w:drawing>
      </w:r>
    </w:p>
    <w:p>
      <w:pPr>
        <w:spacing w:before="0" w:after="280" w:line="240" w:lineRule="auto"/>
        <w:keepNext w:val="1"/>
        <w:jc w:val="center"/>
      </w:pPr>
      <w:r>
        <w:rPr>
          <w:rFonts w:ascii="IBM Plex Mono" w:hAnsi="IBM Plex Mono"/>
          <w:b/>
          <w:caps/>
          <w:color w:val="A94728"/>
          <w:sz w:val="16"/>
        </w:rPr>
        <w:t>FIELD GUIDE · EDITION 2.0 · JULY 2026</w:t>
      </w:r>
    </w:p>
    <w:p>
      <w:pPr>
        <w:pStyle w:val="Title"/>
        <w:jc w:val="center"/>
      </w:pPr>
      <w:r>
        <w:t>ChatGPT Forecast</w:t>
      </w:r>
    </w:p>
    <w:p>
      <w:pPr>
        <w:pStyle w:val="Subtitle"/>
        <w:jc w:val="center"/>
      </w:pPr>
      <w:r>
        <w:t>Columbus micromobility events, home games, weather, and weekly demand context</w:t>
      </w:r>
    </w:p>
    <w:p>
      <w:pPr>
        <w:spacing w:before="160" w:after="360"/>
        <w:pBdr>
          <w:bottom w:val="single" w:sz="12" w:space="1" w:color="A94728"/>
        </w:pBdr>
      </w:pPr>
    </w:p>
    <w:p>
      <w:pPr>
        <w:spacing w:before="0" w:after="360" w:line="300" w:lineRule="auto"/>
        <w:jc w:val="center"/>
      </w:pPr>
      <w:r>
        <w:rPr>
          <w:rFonts w:ascii="IBM Plex Sans" w:hAnsi="IBM Plex Sans"/>
          <w:color w:val="3E4A4F"/>
          <w:sz w:val="22"/>
        </w:rPr>
        <w:t>Built to accompany the 2024–2026 demand-shaping event inventory: confirmed major events, routine home games, ISO-8601 bridge records, observed weather, and a cautious year-end weather projection.</w:t>
      </w:r>
    </w:p>
    <w:p>
      <w:pPr>
        <w:spacing w:before="0" w:after="80" w:line="283" w:lineRule="auto"/>
        <w:jc w:val="center"/>
      </w:pPr>
      <w:r>
        <w:rPr>
          <w:rFonts w:ascii="IBM Plex Mono" w:hAnsi="IBM Plex Mono"/>
          <w:color w:val="5D696D"/>
          <w:sz w:val="17"/>
        </w:rPr>
        <w:t>Prepared 28 July 2026</w:t>
      </w:r>
    </w:p>
    <w:p>
      <w:pPr>
        <w:spacing w:before="0" w:after="120" w:line="283" w:lineRule="auto"/>
        <w:jc w:val="center"/>
      </w:pPr>
      <w:r>
        <w:rPr>
          <w:rFonts w:ascii="IBM Plex Mono" w:hAnsi="IBM Plex Mono"/>
          <w:color w:val="5D696D"/>
          <w:sz w:val="16"/>
        </w:rPr>
        <w:t>Steven Needham · Independent project · Public data only</w:t>
      </w:r>
    </w:p>
    <w:p>
      <w:r>
        <w:br w:type="page"/>
      </w:r>
    </w:p>
    <w:p>
      <w:pPr>
        <w:spacing w:before="0" w:after="140" w:line="240" w:lineRule="auto"/>
        <w:keepNext w:val="1"/>
      </w:pPr>
      <w:r>
        <w:rPr>
          <w:rFonts w:ascii="IBM Plex Mono" w:hAnsi="IBM Plex Mono"/>
          <w:b/>
          <w:caps/>
          <w:color w:val="A94728"/>
          <w:sz w:val="16"/>
        </w:rPr>
        <w:t>01 / WORKBOOK AT A GLANCE</w:t>
      </w:r>
    </w:p>
    <w:p>
      <w:pPr>
        <w:pStyle w:val="Heading1"/>
      </w:pPr>
      <w:r>
        <w:t>What the current inventory contains</w:t>
      </w:r>
    </w:p>
    <w:p>
      <w:pPr>
        <w:spacing w:before="0" w:after="200" w:line="283" w:lineRule="auto"/>
      </w:pPr>
      <w:r>
        <w:rPr>
          <w:rFonts w:ascii="IBM Plex Sans" w:hAnsi="IBM Plex Sans"/>
          <w:color w:val="202A2E"/>
          <w:sz w:val="20"/>
        </w:rPr>
        <w:t>The workbook is no longer only a directory of places to look. It is a structured weekly context layer that separates major demand-shaping events, routine home games, and weather disruption, then joins them with ISO year and ISO week fields.</w:t>
      </w:r>
    </w:p>
    <w:tbl>
      <w:tblPr>
        <w:tblW w:type="dxa" w:w="9878"/>
        <w:tblLayout w:type="fixed"/>
        <w:tblLook w:firstColumn="1" w:firstRow="1" w:lastColumn="0" w:lastRow="0" w:noHBand="0" w:noVBand="1" w:val="04A0"/>
        <w:jc w:val="left"/>
        <w:tblInd w:w="120" w:type="dxa"/>
      </w:tblPr>
      <w:tblGrid>
        <w:gridCol w:w="1500"/>
        <w:gridCol w:w="4300"/>
        <w:gridCol w:w="4078"/>
      </w:tblGrid>
      <w:tr>
        <w:trPr>
          <w:tblHeader w:val="true"/>
        </w:trPr>
        <w:tc>
          <w:tcPr>
            <w:tcW w:type="dxa" w:w="1500"/>
            <w:tcMar>
              <w:top w:w="90" w:type="dxa"/>
              <w:start w:w="120" w:type="dxa"/>
              <w:bottom w:w="90" w:type="dxa"/>
              <w:end w:w="120" w:type="dxa"/>
            </w:tcMar>
            <w:shd w:fill="202A2E"/>
            <w:vAlign w:val="center"/>
          </w:tcPr>
          <w:p>
            <w:pPr>
              <w:spacing w:after="0"/>
            </w:pPr>
            <w:r>
              <w:rPr>
                <w:rFonts w:ascii="IBM Plex Mono" w:hAnsi="IBM Plex Mono"/>
                <w:b/>
                <w:color w:val="FFFFFF"/>
                <w:sz w:val="16"/>
              </w:rPr>
              <w:t>Measure</w:t>
            </w:r>
          </w:p>
        </w:tc>
        <w:tc>
          <w:tcPr>
            <w:tcW w:type="dxa" w:w="4300"/>
            <w:tcMar>
              <w:top w:w="90" w:type="dxa"/>
              <w:start w:w="120" w:type="dxa"/>
              <w:bottom w:w="90" w:type="dxa"/>
              <w:end w:w="120" w:type="dxa"/>
            </w:tcMar>
            <w:shd w:fill="202A2E"/>
            <w:vAlign w:val="center"/>
          </w:tcPr>
          <w:p>
            <w:pPr>
              <w:spacing w:after="0"/>
            </w:pPr>
            <w:r>
              <w:rPr>
                <w:rFonts w:ascii="IBM Plex Mono" w:hAnsi="IBM Plex Mono"/>
                <w:b/>
                <w:color w:val="FFFFFF"/>
                <w:sz w:val="16"/>
              </w:rPr>
              <w:t>Layer</w:t>
            </w:r>
          </w:p>
        </w:tc>
        <w:tc>
          <w:tcPr>
            <w:tcW w:type="dxa" w:w="4078"/>
            <w:tcMar>
              <w:top w:w="90" w:type="dxa"/>
              <w:start w:w="120" w:type="dxa"/>
              <w:bottom w:w="90" w:type="dxa"/>
              <w:end w:w="120" w:type="dxa"/>
            </w:tcMar>
            <w:shd w:fill="202A2E"/>
            <w:vAlign w:val="center"/>
          </w:tcPr>
          <w:p>
            <w:pPr>
              <w:spacing w:after="0"/>
            </w:pPr>
            <w:r>
              <w:rPr>
                <w:rFonts w:ascii="IBM Plex Mono" w:hAnsi="IBM Plex Mono"/>
                <w:b/>
                <w:color w:val="FFFFFF"/>
                <w:sz w:val="16"/>
              </w:rPr>
              <w:t>Coverage</w:t>
            </w:r>
          </w:p>
        </w:tc>
      </w:tr>
      <w:tr>
        <w:tc>
          <w:tcPr>
            <w:tcW w:type="dxa" w:w="1500"/>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90</w:t>
            </w:r>
          </w:p>
        </w:tc>
        <w:tc>
          <w:tcPr>
            <w:tcW w:type="dxa" w:w="4300"/>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canonical major events</w:t>
            </w:r>
          </w:p>
        </w:tc>
        <w:tc>
          <w:tcPr>
            <w:tcW w:type="dxa" w:w="4078"/>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2024–2026</w:t>
            </w:r>
          </w:p>
        </w:tc>
      </w:tr>
      <w:tr>
        <w:tc>
          <w:tcPr>
            <w:tcW w:type="dxa" w:w="1500"/>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569</w:t>
            </w:r>
          </w:p>
        </w:tc>
        <w:tc>
          <w:tcPr>
            <w:tcW w:type="dxa" w:w="4300"/>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routine home games</w:t>
            </w:r>
          </w:p>
        </w:tc>
        <w:tc>
          <w:tcPr>
            <w:tcW w:type="dxa" w:w="4078"/>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Columbus-area teams</w:t>
            </w:r>
          </w:p>
        </w:tc>
      </w:tr>
      <w:tr>
        <w:tc>
          <w:tcPr>
            <w:tcW w:type="dxa" w:w="1500"/>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109</w:t>
            </w:r>
          </w:p>
        </w:tc>
        <w:tc>
          <w:tcPr>
            <w:tcW w:type="dxa" w:w="4300"/>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event-week bridge records</w:t>
            </w:r>
          </w:p>
        </w:tc>
        <w:tc>
          <w:tcPr>
            <w:tcW w:type="dxa" w:w="4078"/>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multiweek events repeated</w:t>
            </w:r>
          </w:p>
        </w:tc>
      </w:tr>
      <w:tr>
        <w:tc>
          <w:tcPr>
            <w:tcW w:type="dxa" w:w="1500"/>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284</w:t>
            </w:r>
          </w:p>
        </w:tc>
        <w:tc>
          <w:tcPr>
            <w:tcW w:type="dxa" w:w="4300"/>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home-game week records</w:t>
            </w:r>
          </w:p>
        </w:tc>
        <w:tc>
          <w:tcPr>
            <w:tcW w:type="dxa" w:w="4078"/>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team-week aggregation</w:t>
            </w:r>
          </w:p>
        </w:tc>
      </w:tr>
      <w:tr>
        <w:tc>
          <w:tcPr>
            <w:tcW w:type="dxa" w:w="1500"/>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357</w:t>
            </w:r>
          </w:p>
        </w:tc>
        <w:tc>
          <w:tcPr>
            <w:tcW w:type="dxa" w:w="4300"/>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observed weather-event days</w:t>
            </w:r>
          </w:p>
        </w:tc>
        <w:tc>
          <w:tcPr>
            <w:tcW w:type="dxa" w:w="4078"/>
            <w:shd w:fill="FBFAF6"/>
            <w:vAlign w:val="center"/>
            <w:tcMar>
              <w:top w:w="90" w:type="dxa"/>
              <w:start w:w="120" w:type="dxa"/>
              <w:bottom w:w="90" w:type="dxa"/>
              <w:end w:w="120" w:type="dxa"/>
            </w:tcMar>
          </w:tcPr>
          <w:p>
            <w:pPr>
              <w:spacing w:after="0" w:line="252" w:lineRule="auto"/>
            </w:pPr>
            <w:r>
              <w:rPr>
                <w:rFonts w:ascii="IBM Plex Sans" w:hAnsi="IBM Plex Sans"/>
                <w:color w:val="202A2E"/>
                <w:sz w:val="18"/>
              </w:rPr>
              <w:t>threshold-filtered</w:t>
            </w:r>
          </w:p>
        </w:tc>
      </w:tr>
      <w:tr>
        <w:tc>
          <w:tcPr>
            <w:tcW w:type="dxa" w:w="1500"/>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37</w:t>
            </w:r>
          </w:p>
        </w:tc>
        <w:tc>
          <w:tcPr>
            <w:tcW w:type="dxa" w:w="4300"/>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projected weather-risk days</w:t>
            </w:r>
          </w:p>
        </w:tc>
        <w:tc>
          <w:tcPr>
            <w:tcW w:type="dxa" w:w="4078"/>
            <w:shd w:fill="F3F0E8"/>
            <w:vAlign w:val="center"/>
            <w:tcMar>
              <w:top w:w="90" w:type="dxa"/>
              <w:start w:w="120" w:type="dxa"/>
              <w:bottom w:w="90" w:type="dxa"/>
              <w:end w:w="120" w:type="dxa"/>
            </w:tcMar>
          </w:tcPr>
          <w:p>
            <w:pPr>
              <w:spacing w:after="0" w:line="252" w:lineRule="auto"/>
            </w:pPr>
            <w:r>
              <w:rPr>
                <w:rFonts w:ascii="IBM Plex Sans" w:hAnsi="IBM Plex Sans"/>
                <w:color w:val="202A2E"/>
                <w:sz w:val="18"/>
              </w:rPr>
              <w:t>through 2026-12-31</w:t>
            </w:r>
          </w:p>
        </w:tc>
      </w:tr>
    </w:tbl>
    <w:p>
      <w:pPr>
        <w:spacing w:after="40"/>
      </w:pPr>
    </w:p>
    <w:tbl>
      <w:tblPr>
        <w:tblW w:type="dxa" w:w="9878"/>
        <w:jc w:val="left"/>
        <w:tblLayout w:type="fixed"/>
        <w:tblLook w:firstColumn="1" w:firstRow="1" w:lastColumn="0" w:lastRow="0" w:noHBand="0" w:noVBand="1" w:val="04A0"/>
        <w:tblInd w:w="120" w:type="dxa"/>
      </w:tblPr>
      <w:tblGrid>
        <w:gridCol w:w="9878"/>
      </w:tblGrid>
      <w:tr>
        <w:tc>
          <w:tcPr>
            <w:tcW w:type="dxa" w:w="9878"/>
            <w:tcMar>
              <w:top w:w="90" w:type="dxa"/>
              <w:start w:w="120" w:type="dxa"/>
              <w:bottom w:w="90" w:type="dxa"/>
              <w:end w:w="120" w:type="dxa"/>
            </w:tcMar>
            <w:shd w:fill="E7C3B5"/>
          </w:tcPr>
          <w:p>
            <w:pPr>
              <w:spacing w:after="40"/>
            </w:pPr>
            <w:r>
              <w:rPr>
                <w:rFonts w:ascii="IBM Plex Mono" w:hAnsi="IBM Plex Mono"/>
                <w:b/>
                <w:color w:val="A94728"/>
                <w:sz w:val="16"/>
              </w:rPr>
              <w:t>INTERPRETATION BOUNDARY</w:t>
            </w:r>
          </w:p>
          <w:p>
            <w:pPr>
              <w:spacing w:after="0" w:line="276" w:lineRule="auto"/>
            </w:pPr>
            <w:r>
              <w:rPr>
                <w:rFonts w:ascii="IBM Plex Sans" w:hAnsi="IBM Plex Sans"/>
                <w:color w:val="202A2E"/>
                <w:sz w:val="19"/>
              </w:rPr>
              <w:t>Projected weather after July 28, 2026 is a climate-model planning signal, not a reliable day-specific forecast. It should be down-weighted relative to observed weather and refreshed with operational forecasts near the week of service.</w:t>
            </w:r>
          </w:p>
        </w:tc>
      </w:tr>
    </w:tbl>
    <w:p>
      <w:pPr>
        <w:spacing w:after="40"/>
      </w:pPr>
    </w:p>
    <w:p>
      <w:pPr>
        <w:pStyle w:val="Heading2"/>
      </w:pPr>
      <w:r>
        <w:t>How the workbook is organized</w:t>
      </w:r>
    </w:p>
    <w:tbl>
      <w:tblPr>
        <w:tblW w:type="dxa" w:w="9878"/>
        <w:tblLayout w:type="fixed"/>
        <w:tblLook w:firstColumn="1" w:firstRow="1" w:lastColumn="0" w:lastRow="0" w:noHBand="0" w:noVBand="1" w:val="04A0"/>
        <w:jc w:val="left"/>
        <w:tblInd w:w="120" w:type="dxa"/>
      </w:tblPr>
      <w:tblGrid>
        <w:gridCol w:w="2100"/>
        <w:gridCol w:w="7778"/>
      </w:tblGrid>
      <w:tr>
        <w:trPr>
          <w:tblHeader w:val="true"/>
        </w:trPr>
        <w:tc>
          <w:tcPr>
            <w:tcW w:type="dxa" w:w="2100"/>
            <w:tcMar>
              <w:top w:w="90" w:type="dxa"/>
              <w:start w:w="120" w:type="dxa"/>
              <w:bottom w:w="90" w:type="dxa"/>
              <w:end w:w="120" w:type="dxa"/>
            </w:tcMar>
            <w:shd w:fill="236A73"/>
            <w:vAlign w:val="center"/>
          </w:tcPr>
          <w:p>
            <w:pPr>
              <w:spacing w:after="0"/>
            </w:pPr>
            <w:r>
              <w:rPr>
                <w:rFonts w:ascii="IBM Plex Mono" w:hAnsi="IBM Plex Mono"/>
                <w:b/>
                <w:color w:val="FFFFFF"/>
                <w:sz w:val="16"/>
              </w:rPr>
              <w:t>Sheet</w:t>
            </w:r>
          </w:p>
        </w:tc>
        <w:tc>
          <w:tcPr>
            <w:tcW w:type="dxa" w:w="7778"/>
            <w:tcMar>
              <w:top w:w="90" w:type="dxa"/>
              <w:start w:w="120" w:type="dxa"/>
              <w:bottom w:w="90" w:type="dxa"/>
              <w:end w:w="120" w:type="dxa"/>
            </w:tcMar>
            <w:shd w:fill="236A73"/>
            <w:vAlign w:val="center"/>
          </w:tcPr>
          <w:p>
            <w:pPr>
              <w:spacing w:after="0"/>
            </w:pPr>
            <w:r>
              <w:rPr>
                <w:rFonts w:ascii="IBM Plex Mono" w:hAnsi="IBM Plex Mono"/>
                <w:b/>
                <w:color w:val="FFFFFF"/>
                <w:sz w:val="16"/>
              </w:rPr>
              <w:t>Purpose</w:t>
            </w:r>
          </w:p>
        </w:tc>
      </w:tr>
      <w:tr>
        <w:tc>
          <w:tcPr>
            <w:tcW w:type="dxa" w:w="21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Events</w:t>
            </w:r>
          </w:p>
        </w:tc>
        <w:tc>
          <w:tcPr>
            <w:tcW w:type="dxa" w:w="77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One row per major event, with source, place, impact tier, status, and start-date ISO fields.</w:t>
            </w:r>
          </w:p>
        </w:tc>
      </w:tr>
      <w:tr>
        <w:tc>
          <w:tcPr>
            <w:tcW w:type="dxa" w:w="21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Event Weeks</w:t>
            </w:r>
          </w:p>
        </w:tc>
        <w:tc>
          <w:tcPr>
            <w:tcW w:type="dxa" w:w="77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One record for every ISO week touched by an event; the join layer for multiweek demand.</w:t>
            </w:r>
          </w:p>
        </w:tc>
      </w:tr>
      <w:tr>
        <w:tc>
          <w:tcPr>
            <w:tcW w:type="dxa" w:w="21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Home Games</w:t>
            </w:r>
          </w:p>
        </w:tc>
        <w:tc>
          <w:tcPr>
            <w:tcW w:type="dxa" w:w="77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One row per regular home game for the tracked Columbus-area teams.</w:t>
            </w:r>
          </w:p>
        </w:tc>
      </w:tr>
      <w:tr>
        <w:tc>
          <w:tcPr>
            <w:tcW w:type="dxa" w:w="21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Home Game Weeks</w:t>
            </w:r>
          </w:p>
        </w:tc>
        <w:tc>
          <w:tcPr>
            <w:tcW w:type="dxa" w:w="77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Team-level weekly counts for recurring sports demand.</w:t>
            </w:r>
          </w:p>
        </w:tc>
      </w:tr>
      <w:tr>
        <w:tc>
          <w:tcPr>
            <w:tcW w:type="dxa" w:w="21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Weather Daily</w:t>
            </w:r>
          </w:p>
        </w:tc>
        <w:tc>
          <w:tcPr>
            <w:tcW w:type="dxa" w:w="77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Observed reanalysis through July 28, then climate-model projection through December 31.</w:t>
            </w:r>
          </w:p>
        </w:tc>
      </w:tr>
      <w:tr>
        <w:tc>
          <w:tcPr>
            <w:tcW w:type="dxa" w:w="21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Weather Events</w:t>
            </w:r>
          </w:p>
        </w:tc>
        <w:tc>
          <w:tcPr>
            <w:tcW w:type="dxa" w:w="77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Daily records filtered by heat, cold, precipitation, snow, wind, and thunder thresholds.</w:t>
            </w:r>
          </w:p>
        </w:tc>
      </w:tr>
      <w:tr>
        <w:tc>
          <w:tcPr>
            <w:tcW w:type="dxa" w:w="21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Weather Weeks</w:t>
            </w:r>
          </w:p>
        </w:tc>
        <w:tc>
          <w:tcPr>
            <w:tcW w:type="dxa" w:w="77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Weekly weather aggregation for correlation.</w:t>
            </w:r>
          </w:p>
        </w:tc>
      </w:tr>
      <w:tr>
        <w:tc>
          <w:tcPr>
            <w:tcW w:type="dxa" w:w="21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Weekly Combined</w:t>
            </w:r>
          </w:p>
        </w:tc>
        <w:tc>
          <w:tcPr>
            <w:tcW w:type="dxa" w:w="77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One ISO-week key joining major events, home games, and weather signals.</w:t>
            </w:r>
          </w:p>
        </w:tc>
      </w:tr>
      <w:tr>
        <w:tc>
          <w:tcPr>
            <w:tcW w:type="dxa" w:w="21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Scope &amp; Sources</w:t>
            </w:r>
          </w:p>
        </w:tc>
        <w:tc>
          <w:tcPr>
            <w:tcW w:type="dxa" w:w="77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Inclusion rules, caveats, and the source families used.</w:t>
            </w:r>
          </w:p>
        </w:tc>
      </w:tr>
    </w:tbl>
    <w:p>
      <w:pPr>
        <w:spacing w:after="40"/>
      </w:pPr>
    </w:p>
    <w:p>
      <w:pPr>
        <w:spacing w:before="0" w:after="140" w:line="240" w:lineRule="auto"/>
        <w:keepNext w:val="1"/>
      </w:pPr>
      <w:r>
        <w:rPr>
          <w:rFonts w:ascii="IBM Plex Mono" w:hAnsi="IBM Plex Mono"/>
          <w:b/>
          <w:caps/>
          <w:color w:val="A94728"/>
          <w:sz w:val="16"/>
        </w:rPr>
        <w:t>02 / EVENT AND GAME LAYERS</w:t>
      </w:r>
    </w:p>
    <w:p>
      <w:pPr>
        <w:pStyle w:val="Heading1"/>
      </w:pPr>
      <w:r>
        <w:t>Separate exceptional demand from routine home games</w:t>
      </w:r>
    </w:p>
    <w:p>
      <w:pPr>
        <w:spacing w:before="0" w:after="120" w:line="283" w:lineRule="auto"/>
      </w:pPr>
      <w:r>
        <w:rPr>
          <w:rFonts w:ascii="IBM Plex Sans" w:hAnsi="IBM Plex Sans"/>
          <w:color w:val="202A2E"/>
          <w:sz w:val="20"/>
        </w:rPr>
        <w:t>Major festivals, conventions, races, stadium concerts, and other exceptional draws belong in the Events layer. Routine home games belong in Home Games, even when they create meaningful arrival and departure waves. Keeping the layers separate prevents a normal sports calendar from overwhelming the exceptional-event signal.</w:t>
      </w:r>
    </w:p>
    <w:p>
      <w:pPr>
        <w:pStyle w:val="Heading2"/>
      </w:pPr>
      <w:r>
        <w:t>Major-event inclusion rule</w:t>
      </w:r>
    </w:p>
    <w:p>
      <w:pPr>
        <w:pStyle w:val="ListBullet"/>
        <w:numPr>
          <w:ilvl w:val="0"/>
          <w:numId w:val="10"/>
        </w:numPr>
      </w:pPr>
      <w:r>
        <w:rPr>
          <w:rFonts w:ascii="IBM Plex Sans" w:hAnsi="IBM Plex Sans"/>
          <w:color w:val="202A2E"/>
          <w:sz w:val="20"/>
        </w:rPr>
        <w:t>Include major festivals, conventions, races and closures, fairgrounds events, stadium concerts, and exceptional sporting events.</w:t>
      </w:r>
    </w:p>
    <w:p>
      <w:pPr>
        <w:pStyle w:val="ListBullet"/>
        <w:numPr>
          <w:ilvl w:val="0"/>
          <w:numId w:val="10"/>
        </w:numPr>
      </w:pPr>
      <w:r>
        <w:rPr>
          <w:rFonts w:ascii="IBM Plex Sans" w:hAnsi="IBM Plex Sans"/>
          <w:color w:val="202A2E"/>
          <w:sz w:val="20"/>
        </w:rPr>
        <w:t>Record venue, area, category, impact tier, impact basis, verification status, authoritative source, dates, and ISO week.</w:t>
      </w:r>
    </w:p>
    <w:p>
      <w:pPr>
        <w:pStyle w:val="ListBullet"/>
        <w:numPr>
          <w:ilvl w:val="0"/>
          <w:numId w:val="10"/>
        </w:numPr>
      </w:pPr>
      <w:r>
        <w:rPr>
          <w:rFonts w:ascii="IBM Plex Sans" w:hAnsi="IBM Plex Sans"/>
          <w:color w:val="202A2E"/>
          <w:sz w:val="20"/>
        </w:rPr>
        <w:t>Repeat multiweek events once in each affected ISO week through the Event Weeks bridge.</w:t>
      </w:r>
    </w:p>
    <w:p>
      <w:pPr>
        <w:pStyle w:val="ListBullet"/>
        <w:numPr>
          <w:ilvl w:val="0"/>
          <w:numId w:val="10"/>
        </w:numPr>
      </w:pPr>
      <w:r>
        <w:rPr>
          <w:rFonts w:ascii="IBM Plex Sans" w:hAnsi="IBM Plex Sans"/>
          <w:color w:val="202A2E"/>
          <w:sz w:val="20"/>
        </w:rPr>
        <w:t>Use Occurred for past rows and Scheduled for future rows; do not invent unpublished dates.</w:t>
      </w:r>
    </w:p>
    <w:p>
      <w:pPr>
        <w:pStyle w:val="Heading2"/>
      </w:pPr>
      <w:r>
        <w:t>Remaining 2026 confirmed major events</w:t>
      </w:r>
    </w:p>
    <w:tbl>
      <w:tblPr>
        <w:tblW w:type="dxa" w:w="9878"/>
        <w:tblLayout w:type="fixed"/>
        <w:tblLook w:firstColumn="1" w:firstRow="1" w:lastColumn="0" w:lastRow="0" w:noHBand="0" w:noVBand="1" w:val="04A0"/>
        <w:jc w:val="left"/>
        <w:tblInd w:w="120" w:type="dxa"/>
      </w:tblPr>
      <w:tblGrid>
        <w:gridCol w:w="1600"/>
        <w:gridCol w:w="3700"/>
        <w:gridCol w:w="2878"/>
        <w:gridCol w:w="1700"/>
      </w:tblGrid>
      <w:tr>
        <w:trPr>
          <w:tblHeader w:val="true"/>
        </w:trPr>
        <w:tc>
          <w:tcPr>
            <w:tcW w:type="dxa" w:w="1600"/>
            <w:tcMar>
              <w:top w:w="90" w:type="dxa"/>
              <w:start w:w="120" w:type="dxa"/>
              <w:bottom w:w="90" w:type="dxa"/>
              <w:end w:w="120" w:type="dxa"/>
            </w:tcMar>
            <w:shd w:fill="A94728"/>
            <w:vAlign w:val="center"/>
          </w:tcPr>
          <w:p>
            <w:pPr>
              <w:spacing w:after="0"/>
            </w:pPr>
            <w:r>
              <w:rPr>
                <w:rFonts w:ascii="IBM Plex Mono" w:hAnsi="IBM Plex Mono"/>
                <w:b/>
                <w:color w:val="FFFFFF"/>
                <w:sz w:val="16"/>
              </w:rPr>
              <w:t>Dates</w:t>
            </w:r>
          </w:p>
        </w:tc>
        <w:tc>
          <w:tcPr>
            <w:tcW w:type="dxa" w:w="3700"/>
            <w:tcMar>
              <w:top w:w="90" w:type="dxa"/>
              <w:start w:w="120" w:type="dxa"/>
              <w:bottom w:w="90" w:type="dxa"/>
              <w:end w:w="120" w:type="dxa"/>
            </w:tcMar>
            <w:shd w:fill="A94728"/>
            <w:vAlign w:val="center"/>
          </w:tcPr>
          <w:p>
            <w:pPr>
              <w:spacing w:after="0"/>
            </w:pPr>
            <w:r>
              <w:rPr>
                <w:rFonts w:ascii="IBM Plex Mono" w:hAnsi="IBM Plex Mono"/>
                <w:b/>
                <w:color w:val="FFFFFF"/>
                <w:sz w:val="16"/>
              </w:rPr>
              <w:t>Event</w:t>
            </w:r>
          </w:p>
        </w:tc>
        <w:tc>
          <w:tcPr>
            <w:tcW w:type="dxa" w:w="2878"/>
            <w:tcMar>
              <w:top w:w="90" w:type="dxa"/>
              <w:start w:w="120" w:type="dxa"/>
              <w:bottom w:w="90" w:type="dxa"/>
              <w:end w:w="120" w:type="dxa"/>
            </w:tcMar>
            <w:shd w:fill="A94728"/>
            <w:vAlign w:val="center"/>
          </w:tcPr>
          <w:p>
            <w:pPr>
              <w:spacing w:after="0"/>
            </w:pPr>
            <w:r>
              <w:rPr>
                <w:rFonts w:ascii="IBM Plex Mono" w:hAnsi="IBM Plex Mono"/>
                <w:b/>
                <w:color w:val="FFFFFF"/>
                <w:sz w:val="16"/>
              </w:rPr>
              <w:t>Primary area</w:t>
            </w:r>
          </w:p>
        </w:tc>
        <w:tc>
          <w:tcPr>
            <w:tcW w:type="dxa" w:w="1700"/>
            <w:tcMar>
              <w:top w:w="90" w:type="dxa"/>
              <w:start w:w="120" w:type="dxa"/>
              <w:bottom w:w="90" w:type="dxa"/>
              <w:end w:w="120" w:type="dxa"/>
            </w:tcMar>
            <w:shd w:fill="A94728"/>
            <w:vAlign w:val="center"/>
          </w:tcPr>
          <w:p>
            <w:pPr>
              <w:spacing w:after="0"/>
            </w:pPr>
            <w:r>
              <w:rPr>
                <w:rFonts w:ascii="IBM Plex Mono" w:hAnsi="IBM Plex Mono"/>
                <w:b/>
                <w:color w:val="FFFFFF"/>
                <w:sz w:val="16"/>
              </w:rPr>
              <w:t>Impact</w:t>
            </w:r>
          </w:p>
        </w:tc>
      </w:tr>
      <w:tr>
        <w:tc>
          <w:tcPr>
            <w:tcW w:type="dxa" w:w="16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29 Jul–9 Aug</w:t>
            </w:r>
          </w:p>
        </w:tc>
        <w:tc>
          <w:tcPr>
            <w:tcW w:type="dxa" w:w="3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Ohio State Fair</w:t>
            </w:r>
          </w:p>
        </w:tc>
        <w:tc>
          <w:tcPr>
            <w:tcW w:type="dxa" w:w="28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Fairgrounds</w:t>
            </w:r>
          </w:p>
        </w:tc>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Very high</w:t>
            </w:r>
          </w:p>
        </w:tc>
      </w:tr>
      <w:tr>
        <w:tc>
          <w:tcPr>
            <w:tcW w:type="dxa" w:w="16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31 Jul–2 Aug</w:t>
            </w:r>
          </w:p>
        </w:tc>
        <w:tc>
          <w:tcPr>
            <w:tcW w:type="dxa" w:w="3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Pelotonia Ride Weekend</w:t>
            </w:r>
          </w:p>
        </w:tc>
        <w:tc>
          <w:tcPr>
            <w:tcW w:type="dxa" w:w="28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Downtown / regional</w:t>
            </w:r>
          </w:p>
        </w:tc>
        <w:tc>
          <w:tcPr>
            <w:tcW w:type="dxa" w:w="1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High</w:t>
            </w:r>
          </w:p>
        </w:tc>
      </w:tr>
      <w:tr>
        <w:tc>
          <w:tcPr>
            <w:tcW w:type="dxa" w:w="16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22–23 Aug</w:t>
            </w:r>
          </w:p>
        </w:tc>
        <w:tc>
          <w:tcPr>
            <w:tcW w:type="dxa" w:w="3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Festival Latino</w:t>
            </w:r>
          </w:p>
        </w:tc>
        <w:tc>
          <w:tcPr>
            <w:tcW w:type="dxa" w:w="28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Downtown</w:t>
            </w:r>
          </w:p>
        </w:tc>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High</w:t>
            </w:r>
          </w:p>
        </w:tc>
      </w:tr>
      <w:tr>
        <w:tc>
          <w:tcPr>
            <w:tcW w:type="dxa" w:w="16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4–5 Sep</w:t>
            </w:r>
          </w:p>
        </w:tc>
        <w:tc>
          <w:tcPr>
            <w:tcW w:type="dxa" w:w="3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CBUS Soul Fest</w:t>
            </w:r>
          </w:p>
        </w:tc>
        <w:tc>
          <w:tcPr>
            <w:tcW w:type="dxa" w:w="28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Downtown</w:t>
            </w:r>
          </w:p>
        </w:tc>
        <w:tc>
          <w:tcPr>
            <w:tcW w:type="dxa" w:w="1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High</w:t>
            </w:r>
          </w:p>
        </w:tc>
      </w:tr>
      <w:tr>
        <w:tc>
          <w:tcPr>
            <w:tcW w:type="dxa" w:w="16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4–6 Sep</w:t>
            </w:r>
          </w:p>
        </w:tc>
        <w:tc>
          <w:tcPr>
            <w:tcW w:type="dxa" w:w="3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Matsuricon</w:t>
            </w:r>
          </w:p>
        </w:tc>
        <w:tc>
          <w:tcPr>
            <w:tcW w:type="dxa" w:w="28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Downtown / Short North</w:t>
            </w:r>
          </w:p>
        </w:tc>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High</w:t>
            </w:r>
          </w:p>
        </w:tc>
      </w:tr>
      <w:tr>
        <w:tc>
          <w:tcPr>
            <w:tcW w:type="dxa" w:w="16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11–13 Sep</w:t>
            </w:r>
          </w:p>
        </w:tc>
        <w:tc>
          <w:tcPr>
            <w:tcW w:type="dxa" w:w="3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Columbus Oktoberfest</w:t>
            </w:r>
          </w:p>
        </w:tc>
        <w:tc>
          <w:tcPr>
            <w:tcW w:type="dxa" w:w="28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Fairgrounds</w:t>
            </w:r>
          </w:p>
        </w:tc>
        <w:tc>
          <w:tcPr>
            <w:tcW w:type="dxa" w:w="1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High</w:t>
            </w:r>
          </w:p>
        </w:tc>
      </w:tr>
      <w:tr>
        <w:tc>
          <w:tcPr>
            <w:tcW w:type="dxa" w:w="16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26 Sep–24 Oct</w:t>
            </w:r>
          </w:p>
        </w:tc>
        <w:tc>
          <w:tcPr>
            <w:tcW w:type="dxa" w:w="3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Quarter Horse Congress</w:t>
            </w:r>
          </w:p>
        </w:tc>
        <w:tc>
          <w:tcPr>
            <w:tcW w:type="dxa" w:w="28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Fairgrounds</w:t>
            </w:r>
          </w:p>
        </w:tc>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Very high</w:t>
            </w:r>
          </w:p>
        </w:tc>
      </w:tr>
      <w:tr>
        <w:tc>
          <w:tcPr>
            <w:tcW w:type="dxa" w:w="16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17–18 Oct</w:t>
            </w:r>
          </w:p>
        </w:tc>
        <w:tc>
          <w:tcPr>
            <w:tcW w:type="dxa" w:w="3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Columbus Marathon Weekend</w:t>
            </w:r>
          </w:p>
        </w:tc>
        <w:tc>
          <w:tcPr>
            <w:tcW w:type="dxa" w:w="28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Downtown / neighborhoods</w:t>
            </w:r>
          </w:p>
        </w:tc>
        <w:tc>
          <w:tcPr>
            <w:tcW w:type="dxa" w:w="1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Very high</w:t>
            </w:r>
          </w:p>
        </w:tc>
      </w:tr>
      <w:tr>
        <w:tc>
          <w:tcPr>
            <w:tcW w:type="dxa" w:w="16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4–6 Dec</w:t>
            </w:r>
          </w:p>
        </w:tc>
        <w:tc>
          <w:tcPr>
            <w:tcW w:type="dxa" w:w="3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GalaxyCon Columbus</w:t>
            </w:r>
          </w:p>
        </w:tc>
        <w:tc>
          <w:tcPr>
            <w:tcW w:type="dxa" w:w="28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Downtown / Short North</w:t>
            </w:r>
          </w:p>
        </w:tc>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Very high</w:t>
            </w:r>
          </w:p>
        </w:tc>
      </w:tr>
    </w:tbl>
    <w:p>
      <w:pPr>
        <w:spacing w:after="40"/>
      </w:pPr>
    </w:p>
    <w:p>
      <w:pPr>
        <w:pStyle w:val="Heading2"/>
      </w:pPr>
      <w:r>
        <w:t>Routine home-game coverage</w:t>
      </w:r>
    </w:p>
    <w:p>
      <w:pPr>
        <w:spacing w:before="0" w:after="120" w:line="283" w:lineRule="auto"/>
      </w:pPr>
      <w:r>
        <w:rPr>
          <w:rFonts w:ascii="IBM Plex Sans" w:hAnsi="IBM Plex Sans"/>
          <w:color w:val="202A2E"/>
          <w:sz w:val="20"/>
        </w:rPr>
        <w:t>The workbook tracks these recurring home schedules as a separate demand layer:</w:t>
      </w:r>
    </w:p>
    <w:p>
      <w:pPr>
        <w:pStyle w:val="ListBullet"/>
        <w:numPr>
          <w:ilvl w:val="0"/>
          <w:numId w:val="10"/>
        </w:numPr>
      </w:pPr>
      <w:r>
        <w:rPr>
          <w:rFonts w:ascii="IBM Plex Sans" w:hAnsi="IBM Plex Sans"/>
          <w:color w:val="202A2E"/>
          <w:sz w:val="20"/>
        </w:rPr>
        <w:t>Columbus Blue Jackets · NHL · Nationwide Arena</w:t>
      </w:r>
    </w:p>
    <w:p>
      <w:pPr>
        <w:pStyle w:val="ListBullet"/>
        <w:numPr>
          <w:ilvl w:val="0"/>
          <w:numId w:val="10"/>
        </w:numPr>
      </w:pPr>
      <w:r>
        <w:rPr>
          <w:rFonts w:ascii="IBM Plex Sans" w:hAnsi="IBM Plex Sans"/>
          <w:color w:val="202A2E"/>
          <w:sz w:val="20"/>
        </w:rPr>
        <w:t>Columbus Crew · MLS · ScottsMiracle-Gro Field</w:t>
      </w:r>
    </w:p>
    <w:p>
      <w:pPr>
        <w:pStyle w:val="ListBullet"/>
        <w:numPr>
          <w:ilvl w:val="0"/>
          <w:numId w:val="10"/>
        </w:numPr>
      </w:pPr>
      <w:r>
        <w:rPr>
          <w:rFonts w:ascii="IBM Plex Sans" w:hAnsi="IBM Plex Sans"/>
          <w:color w:val="202A2E"/>
          <w:sz w:val="20"/>
        </w:rPr>
        <w:t>Columbus Clippers · MiLB · Huntington Park</w:t>
      </w:r>
    </w:p>
    <w:p>
      <w:pPr>
        <w:pStyle w:val="ListBullet"/>
        <w:numPr>
          <w:ilvl w:val="0"/>
          <w:numId w:val="10"/>
        </w:numPr>
      </w:pPr>
      <w:r>
        <w:rPr>
          <w:rFonts w:ascii="IBM Plex Sans" w:hAnsi="IBM Plex Sans"/>
          <w:color w:val="202A2E"/>
          <w:sz w:val="20"/>
        </w:rPr>
        <w:t>Columbus Fury · Major League Volleyball · Nationwide Arena</w:t>
      </w:r>
    </w:p>
    <w:p>
      <w:pPr>
        <w:pStyle w:val="ListBullet"/>
        <w:numPr>
          <w:ilvl w:val="0"/>
          <w:numId w:val="10"/>
        </w:numPr>
      </w:pPr>
      <w:r>
        <w:rPr>
          <w:rFonts w:ascii="IBM Plex Sans" w:hAnsi="IBM Plex Sans"/>
          <w:color w:val="202A2E"/>
          <w:sz w:val="20"/>
        </w:rPr>
        <w:t>Ohio State football · NCAA / Big Ten · Ohio Stadium</w:t>
      </w:r>
    </w:p>
    <w:p>
      <w:pPr>
        <w:pStyle w:val="ListBullet"/>
        <w:numPr>
          <w:ilvl w:val="0"/>
          <w:numId w:val="10"/>
        </w:numPr>
      </w:pPr>
      <w:r>
        <w:rPr>
          <w:rFonts w:ascii="IBM Plex Sans" w:hAnsi="IBM Plex Sans"/>
          <w:color w:val="202A2E"/>
          <w:sz w:val="20"/>
        </w:rPr>
        <w:t>Ohio State men’s and women’s basketball · Schottenstein Center</w:t>
      </w:r>
    </w:p>
    <w:p>
      <w:pPr>
        <w:pStyle w:val="ListBullet"/>
        <w:numPr>
          <w:ilvl w:val="0"/>
          <w:numId w:val="10"/>
        </w:numPr>
      </w:pPr>
      <w:r>
        <w:rPr>
          <w:rFonts w:ascii="IBM Plex Sans" w:hAnsi="IBM Plex Sans"/>
          <w:color w:val="202A2E"/>
          <w:sz w:val="20"/>
        </w:rPr>
        <w:t>Ohio State men’s hockey · Value City Arena</w:t>
      </w:r>
    </w:p>
    <w:tbl>
      <w:tblPr>
        <w:tblW w:type="dxa" w:w="9878"/>
        <w:jc w:val="left"/>
        <w:tblLayout w:type="fixed"/>
        <w:tblLook w:firstColumn="1" w:firstRow="1" w:lastColumn="0" w:lastRow="0" w:noHBand="0" w:noVBand="1" w:val="04A0"/>
        <w:tblInd w:w="120" w:type="dxa"/>
      </w:tblPr>
      <w:tblGrid>
        <w:gridCol w:w="9878"/>
      </w:tblGrid>
      <w:tr>
        <w:tc>
          <w:tcPr>
            <w:tcW w:type="dxa" w:w="9878"/>
            <w:tcMar>
              <w:top w:w="90" w:type="dxa"/>
              <w:start w:w="120" w:type="dxa"/>
              <w:bottom w:w="90" w:type="dxa"/>
              <w:end w:w="120" w:type="dxa"/>
            </w:tcMar>
            <w:shd w:fill="D5E6E6"/>
          </w:tcPr>
          <w:p>
            <w:pPr>
              <w:spacing w:after="40"/>
            </w:pPr>
            <w:r>
              <w:rPr>
                <w:rFonts w:ascii="IBM Plex Mono" w:hAnsi="IBM Plex Mono"/>
                <w:b/>
                <w:color w:val="236A73"/>
                <w:sz w:val="16"/>
              </w:rPr>
              <w:t>ROUTINE DOES NOT MEAN LOW IMPACT</w:t>
            </w:r>
          </w:p>
          <w:p>
            <w:pPr>
              <w:spacing w:after="0" w:line="276" w:lineRule="auto"/>
            </w:pPr>
            <w:r>
              <w:rPr>
                <w:rFonts w:ascii="IBM Plex Sans" w:hAnsi="IBM Plex Sans"/>
                <w:color w:val="202A2E"/>
                <w:sz w:val="19"/>
              </w:rPr>
              <w:t>“Routine home game” describes the recurring schedule layer, not the size of the crowd. Rivalry games, playoffs, opening days, and simultaneous Arena District events can still produce high or very-high operational pressure.</w:t>
            </w:r>
          </w:p>
        </w:tc>
      </w:tr>
    </w:tbl>
    <w:p>
      <w:pPr>
        <w:spacing w:after="40"/>
      </w:pPr>
    </w:p>
    <w:p>
      <w:r>
        <w:br w:type="page"/>
      </w:r>
    </w:p>
    <w:p>
      <w:pPr>
        <w:spacing w:before="0" w:after="140" w:line="240" w:lineRule="auto"/>
        <w:keepNext w:val="1"/>
      </w:pPr>
      <w:r>
        <w:rPr>
          <w:rFonts w:ascii="IBM Plex Mono" w:hAnsi="IBM Plex Mono"/>
          <w:b/>
          <w:caps/>
          <w:color w:val="A94728"/>
          <w:sz w:val="16"/>
        </w:rPr>
        <w:t>03 / ISO WEEK CORRELATION</w:t>
      </w:r>
    </w:p>
    <w:p>
      <w:pPr>
        <w:pStyle w:val="Heading1"/>
      </w:pPr>
      <w:r>
        <w:t>Use ISO year and week as the shared key</w:t>
      </w:r>
    </w:p>
    <w:p>
      <w:pPr>
        <w:spacing w:before="0" w:after="120" w:line="283" w:lineRule="auto"/>
      </w:pPr>
      <w:r>
        <w:rPr>
          <w:rFonts w:ascii="IBM Plex Sans" w:hAnsi="IBM Plex Sans"/>
          <w:color w:val="202A2E"/>
          <w:sz w:val="20"/>
        </w:rPr>
        <w:t>ISO-8601 weeks run Monday through Sunday. Each row uses an ISO year, ISO week number, and a combined key such as 2026-W32. This creates a consistent weekly join across events, games, weather, GBFS, and 311 measures.</w:t>
      </w:r>
    </w:p>
    <w:tbl>
      <w:tblPr>
        <w:tblW w:type="dxa" w:w="9878"/>
        <w:jc w:val="left"/>
        <w:tblLayout w:type="fixed"/>
        <w:tblLook w:firstColumn="1" w:firstRow="1" w:lastColumn="0" w:lastRow="0" w:noHBand="0" w:noVBand="1" w:val="04A0"/>
        <w:tblInd w:w="120" w:type="dxa"/>
      </w:tblPr>
      <w:tblGrid>
        <w:gridCol w:w="9878"/>
      </w:tblGrid>
      <w:tr>
        <w:tc>
          <w:tcPr>
            <w:tcW w:type="dxa" w:w="9878"/>
            <w:tcMar>
              <w:top w:w="90" w:type="dxa"/>
              <w:start w:w="120" w:type="dxa"/>
              <w:bottom w:w="90" w:type="dxa"/>
              <w:end w:w="120" w:type="dxa"/>
            </w:tcMar>
            <w:shd w:fill="E7C3B5"/>
          </w:tcPr>
          <w:p>
            <w:pPr>
              <w:spacing w:after="40"/>
            </w:pPr>
            <w:r>
              <w:rPr>
                <w:rFonts w:ascii="IBM Plex Mono" w:hAnsi="IBM Plex Mono"/>
                <w:b/>
                <w:color w:val="A94728"/>
                <w:sz w:val="16"/>
              </w:rPr>
              <w:t>YEAR-BOUNDARY RULE</w:t>
            </w:r>
          </w:p>
          <w:p>
            <w:pPr>
              <w:spacing w:after="0" w:line="276" w:lineRule="auto"/>
            </w:pPr>
            <w:r>
              <w:rPr>
                <w:rFonts w:ascii="IBM Plex Sans" w:hAnsi="IBM Plex Sans"/>
                <w:color w:val="202A2E"/>
                <w:sz w:val="19"/>
              </w:rPr>
              <w:t>The ISO year can differ from the calendar year near New Year’s. Always group by iso_year plus iso_week—or by iso_week_key—not by calendar year plus week number.</w:t>
            </w:r>
          </w:p>
        </w:tc>
      </w:tr>
    </w:tbl>
    <w:p>
      <w:pPr>
        <w:spacing w:after="40"/>
      </w:pPr>
    </w:p>
    <w:p>
      <w:pPr>
        <w:pStyle w:val="Heading2"/>
      </w:pPr>
      <w:r>
        <w:t>Recommended weekly correlation</w:t>
      </w:r>
    </w:p>
    <w:p>
      <w:pPr>
        <w:pStyle w:val="ListNumber"/>
        <w:numPr>
          <w:ilvl w:val="0"/>
          <w:numId w:val="11"/>
        </w:numPr>
      </w:pPr>
      <w:r>
        <w:rPr>
          <w:rFonts w:ascii="IBM Plex Sans" w:hAnsi="IBM Plex Sans"/>
          <w:color w:val="202A2E"/>
          <w:sz w:val="20"/>
        </w:rPr>
        <w:t>Start with Weekly Combined as the weekly spine.</w:t>
      </w:r>
    </w:p>
    <w:p>
      <w:pPr>
        <w:pStyle w:val="ListNumber"/>
        <w:numPr>
          <w:ilvl w:val="0"/>
          <w:numId w:val="11"/>
        </w:numPr>
      </w:pPr>
      <w:r>
        <w:rPr>
          <w:rFonts w:ascii="IBM Plex Sans" w:hAnsi="IBM Plex Sans"/>
          <w:color w:val="202A2E"/>
          <w:sz w:val="20"/>
        </w:rPr>
        <w:t>Join major-event counts from Event Weeks by iso_week_key.</w:t>
      </w:r>
    </w:p>
    <w:p>
      <w:pPr>
        <w:pStyle w:val="ListNumber"/>
        <w:numPr>
          <w:ilvl w:val="0"/>
          <w:numId w:val="11"/>
        </w:numPr>
      </w:pPr>
      <w:r>
        <w:rPr>
          <w:rFonts w:ascii="IBM Plex Sans" w:hAnsi="IBM Plex Sans"/>
          <w:color w:val="202A2E"/>
          <w:sz w:val="20"/>
        </w:rPr>
        <w:t>Join team and home-game counts from Home Game Weeks.</w:t>
      </w:r>
    </w:p>
    <w:p>
      <w:pPr>
        <w:pStyle w:val="ListNumber"/>
        <w:numPr>
          <w:ilvl w:val="0"/>
          <w:numId w:val="11"/>
        </w:numPr>
      </w:pPr>
      <w:r>
        <w:rPr>
          <w:rFonts w:ascii="IBM Plex Sans" w:hAnsi="IBM Plex Sans"/>
          <w:color w:val="202A2E"/>
          <w:sz w:val="20"/>
        </w:rPr>
        <w:t>Join observed and projected weather indicators from Weather Weeks.</w:t>
      </w:r>
    </w:p>
    <w:p>
      <w:pPr>
        <w:pStyle w:val="ListNumber"/>
        <w:numPr>
          <w:ilvl w:val="0"/>
          <w:numId w:val="11"/>
        </w:numPr>
      </w:pPr>
      <w:r>
        <w:rPr>
          <w:rFonts w:ascii="IBM Plex Sans" w:hAnsi="IBM Plex Sans"/>
          <w:color w:val="202A2E"/>
          <w:sz w:val="20"/>
        </w:rPr>
        <w:t>Add weekly GBFS supply, trip, availability, or 311 measures using the same ISO key.</w:t>
      </w:r>
    </w:p>
    <w:p>
      <w:pPr>
        <w:pStyle w:val="ListNumber"/>
        <w:numPr>
          <w:ilvl w:val="0"/>
          <w:numId w:val="11"/>
        </w:numPr>
      </w:pPr>
      <w:r>
        <w:rPr>
          <w:rFonts w:ascii="IBM Plex Sans" w:hAnsi="IBM Plex Sans"/>
          <w:color w:val="202A2E"/>
          <w:sz w:val="20"/>
        </w:rPr>
        <w:t>Retain layer-specific counts; do not collapse every signal into one unexplained score.</w:t>
      </w:r>
    </w:p>
    <w:p>
      <w:pPr>
        <w:pStyle w:val="Heading2"/>
      </w:pPr>
      <w:r>
        <w:t>Weekly Combined fields</w:t>
      </w:r>
    </w:p>
    <w:tbl>
      <w:tblPr>
        <w:tblW w:type="dxa" w:w="9878"/>
        <w:tblLayout w:type="fixed"/>
        <w:tblLook w:firstColumn="1" w:firstRow="1" w:lastColumn="0" w:lastRow="0" w:noHBand="0" w:noVBand="1" w:val="04A0"/>
        <w:jc w:val="left"/>
        <w:tblInd w:w="120" w:type="dxa"/>
      </w:tblPr>
      <w:tblGrid>
        <w:gridCol w:w="3150"/>
        <w:gridCol w:w="6728"/>
      </w:tblGrid>
      <w:tr>
        <w:trPr>
          <w:tblHeader w:val="true"/>
        </w:trPr>
        <w:tc>
          <w:tcPr>
            <w:tcW w:type="dxa" w:w="3150"/>
            <w:tcMar>
              <w:top w:w="90" w:type="dxa"/>
              <w:start w:w="120" w:type="dxa"/>
              <w:bottom w:w="90" w:type="dxa"/>
              <w:end w:w="120" w:type="dxa"/>
            </w:tcMar>
            <w:shd w:fill="236A73"/>
            <w:vAlign w:val="center"/>
          </w:tcPr>
          <w:p>
            <w:pPr>
              <w:spacing w:after="0"/>
            </w:pPr>
            <w:r>
              <w:rPr>
                <w:rFonts w:ascii="IBM Plex Mono" w:hAnsi="IBM Plex Mono"/>
                <w:b/>
                <w:color w:val="FFFFFF"/>
                <w:sz w:val="16"/>
              </w:rPr>
              <w:t>Field</w:t>
            </w:r>
          </w:p>
        </w:tc>
        <w:tc>
          <w:tcPr>
            <w:tcW w:type="dxa" w:w="6728"/>
            <w:tcMar>
              <w:top w:w="90" w:type="dxa"/>
              <w:start w:w="120" w:type="dxa"/>
              <w:bottom w:w="90" w:type="dxa"/>
              <w:end w:w="120" w:type="dxa"/>
            </w:tcMar>
            <w:shd w:fill="236A73"/>
            <w:vAlign w:val="center"/>
          </w:tcPr>
          <w:p>
            <w:pPr>
              <w:spacing w:after="0"/>
            </w:pPr>
            <w:r>
              <w:rPr>
                <w:rFonts w:ascii="IBM Plex Mono" w:hAnsi="IBM Plex Mono"/>
                <w:b/>
                <w:color w:val="FFFFFF"/>
                <w:sz w:val="16"/>
              </w:rPr>
              <w:t>Meaning</w:t>
            </w:r>
          </w:p>
        </w:tc>
      </w:tr>
      <w:tr>
        <w:tc>
          <w:tcPr>
            <w:tcW w:type="dxa" w:w="315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major_event_records</w:t>
            </w:r>
          </w:p>
        </w:tc>
        <w:tc>
          <w:tcPr>
            <w:tcW w:type="dxa" w:w="672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Number of major-event bridge records touching the week.</w:t>
            </w:r>
          </w:p>
        </w:tc>
      </w:tr>
      <w:tr>
        <w:tc>
          <w:tcPr>
            <w:tcW w:type="dxa" w:w="315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home_games</w:t>
            </w:r>
          </w:p>
        </w:tc>
        <w:tc>
          <w:tcPr>
            <w:tcW w:type="dxa" w:w="672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Count of tracked routine home games.</w:t>
            </w:r>
          </w:p>
        </w:tc>
      </w:tr>
      <w:tr>
        <w:tc>
          <w:tcPr>
            <w:tcW w:type="dxa" w:w="315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active_home_teams</w:t>
            </w:r>
          </w:p>
        </w:tc>
        <w:tc>
          <w:tcPr>
            <w:tcW w:type="dxa" w:w="672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Distinct tracked teams with at least one home game.</w:t>
            </w:r>
          </w:p>
        </w:tc>
      </w:tr>
      <w:tr>
        <w:tc>
          <w:tcPr>
            <w:tcW w:type="dxa" w:w="315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observed_weather_event_days</w:t>
            </w:r>
          </w:p>
        </w:tc>
        <w:tc>
          <w:tcPr>
            <w:tcW w:type="dxa" w:w="672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Threshold weather days from observed reanalysis.</w:t>
            </w:r>
          </w:p>
        </w:tc>
      </w:tr>
      <w:tr>
        <w:tc>
          <w:tcPr>
            <w:tcW w:type="dxa" w:w="315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projected_weather_risk_days</w:t>
            </w:r>
          </w:p>
        </w:tc>
        <w:tc>
          <w:tcPr>
            <w:tcW w:type="dxa" w:w="672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Threshold days from the climate-model planning projection.</w:t>
            </w:r>
          </w:p>
        </w:tc>
      </w:tr>
      <w:tr>
        <w:tc>
          <w:tcPr>
            <w:tcW w:type="dxa" w:w="315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total_demand_signals</w:t>
            </w:r>
          </w:p>
        </w:tc>
        <w:tc>
          <w:tcPr>
            <w:tcW w:type="dxa" w:w="672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Formula-derived count of event, game, and weather signals; a context measure, not a demand forecast.</w:t>
            </w:r>
          </w:p>
        </w:tc>
      </w:tr>
    </w:tbl>
    <w:p>
      <w:pPr>
        <w:spacing w:after="40"/>
      </w:pPr>
    </w:p>
    <w:p>
      <w:pPr>
        <w:spacing w:before="0" w:after="140" w:line="240" w:lineRule="auto"/>
        <w:keepNext w:val="1"/>
      </w:pPr>
      <w:r>
        <w:rPr>
          <w:rFonts w:ascii="IBM Plex Mono" w:hAnsi="IBM Plex Mono"/>
          <w:b/>
          <w:caps/>
          <w:color w:val="A94728"/>
          <w:sz w:val="16"/>
        </w:rPr>
        <w:t>04 / WEATHER LAYER</w:t>
      </w:r>
    </w:p>
    <w:p>
      <w:pPr>
        <w:pStyle w:val="Heading1"/>
      </w:pPr>
      <w:r>
        <w:t>Historical weather and projected weather risk</w:t>
      </w:r>
    </w:p>
    <w:p>
      <w:pPr>
        <w:spacing w:before="0" w:after="120" w:line="283" w:lineRule="auto"/>
      </w:pPr>
      <w:r>
        <w:rPr>
          <w:rFonts w:ascii="IBM Plex Sans" w:hAnsi="IBM Plex Sans"/>
          <w:color w:val="202A2E"/>
          <w:sz w:val="20"/>
        </w:rPr>
        <w:t>Weather is treated as its own operating layer because it can suppress discretionary trips, shift mode choice, concentrate departures, or create access and safety constraints. The workbook uses observed daily reanalysis for 1 January 2024 through 28 July 2026 and a CMCC climate-model projection for 29 July through 31 December 2026.</w:t>
      </w:r>
    </w:p>
    <w:tbl>
      <w:tblPr>
        <w:tblW w:type="dxa" w:w="9878"/>
        <w:tblLayout w:type="fixed"/>
        <w:tblLook w:firstColumn="1" w:firstRow="1" w:lastColumn="0" w:lastRow="0" w:noHBand="0" w:noVBand="1" w:val="04A0"/>
        <w:jc w:val="left"/>
        <w:tblInd w:w="120" w:type="dxa"/>
      </w:tblPr>
      <w:tblGrid>
        <w:gridCol w:w="1700"/>
        <w:gridCol w:w="2800"/>
        <w:gridCol w:w="5378"/>
      </w:tblGrid>
      <w:tr>
        <w:trPr>
          <w:tblHeader w:val="true"/>
        </w:trPr>
        <w:tc>
          <w:tcPr>
            <w:tcW w:type="dxa" w:w="1700"/>
            <w:tcMar>
              <w:top w:w="90" w:type="dxa"/>
              <w:start w:w="120" w:type="dxa"/>
              <w:bottom w:w="90" w:type="dxa"/>
              <w:end w:w="120" w:type="dxa"/>
            </w:tcMar>
            <w:shd w:fill="202A2E"/>
            <w:vAlign w:val="center"/>
          </w:tcPr>
          <w:p>
            <w:pPr>
              <w:spacing w:after="0"/>
            </w:pPr>
            <w:r>
              <w:rPr>
                <w:rFonts w:ascii="IBM Plex Mono" w:hAnsi="IBM Plex Mono"/>
                <w:b/>
                <w:color w:val="FFFFFF"/>
                <w:sz w:val="16"/>
              </w:rPr>
              <w:t>Driver</w:t>
            </w:r>
          </w:p>
        </w:tc>
        <w:tc>
          <w:tcPr>
            <w:tcW w:type="dxa" w:w="2800"/>
            <w:tcMar>
              <w:top w:w="90" w:type="dxa"/>
              <w:start w:w="120" w:type="dxa"/>
              <w:bottom w:w="90" w:type="dxa"/>
              <w:end w:w="120" w:type="dxa"/>
            </w:tcMar>
            <w:shd w:fill="202A2E"/>
            <w:vAlign w:val="center"/>
          </w:tcPr>
          <w:p>
            <w:pPr>
              <w:spacing w:after="0"/>
            </w:pPr>
            <w:r>
              <w:rPr>
                <w:rFonts w:ascii="IBM Plex Mono" w:hAnsi="IBM Plex Mono"/>
                <w:b/>
                <w:color w:val="FFFFFF"/>
                <w:sz w:val="16"/>
              </w:rPr>
              <w:t>Threshold</w:t>
            </w:r>
          </w:p>
        </w:tc>
        <w:tc>
          <w:tcPr>
            <w:tcW w:type="dxa" w:w="5378"/>
            <w:tcMar>
              <w:top w:w="90" w:type="dxa"/>
              <w:start w:w="120" w:type="dxa"/>
              <w:bottom w:w="90" w:type="dxa"/>
              <w:end w:w="120" w:type="dxa"/>
            </w:tcMar>
            <w:shd w:fill="202A2E"/>
            <w:vAlign w:val="center"/>
          </w:tcPr>
          <w:p>
            <w:pPr>
              <w:spacing w:after="0"/>
            </w:pPr>
            <w:r>
              <w:rPr>
                <w:rFonts w:ascii="IBM Plex Mono" w:hAnsi="IBM Plex Mono"/>
                <w:b/>
                <w:color w:val="FFFFFF"/>
                <w:sz w:val="16"/>
              </w:rPr>
              <w:t>Operational reading</w:t>
            </w:r>
          </w:p>
        </w:tc>
      </w:tr>
      <w:tr>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Heat</w:t>
            </w:r>
          </w:p>
        </w:tc>
        <w:tc>
          <w:tcPr>
            <w:tcW w:type="dxa" w:w="28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Maximum temperature ≥ 90°F</w:t>
            </w:r>
          </w:p>
        </w:tc>
        <w:tc>
          <w:tcPr>
            <w:tcW w:type="dxa" w:w="53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Heat exposure; possible demand suppression or shorter trips</w:t>
            </w:r>
          </w:p>
        </w:tc>
      </w:tr>
      <w:tr>
        <w:tc>
          <w:tcPr>
            <w:tcW w:type="dxa" w:w="1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Cold</w:t>
            </w:r>
          </w:p>
        </w:tc>
        <w:tc>
          <w:tcPr>
            <w:tcW w:type="dxa" w:w="28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Minimum temperature ≤ 20°F</w:t>
            </w:r>
          </w:p>
        </w:tc>
        <w:tc>
          <w:tcPr>
            <w:tcW w:type="dxa" w:w="53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Cold exposure; likely suppression</w:t>
            </w:r>
          </w:p>
        </w:tc>
      </w:tr>
      <w:tr>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Precipitation</w:t>
            </w:r>
          </w:p>
        </w:tc>
        <w:tc>
          <w:tcPr>
            <w:tcW w:type="dxa" w:w="28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Daily precipitation ≥ 0.25 in</w:t>
            </w:r>
          </w:p>
        </w:tc>
        <w:tc>
          <w:tcPr>
            <w:tcW w:type="dxa" w:w="53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Wet riding and possible demand reduction</w:t>
            </w:r>
          </w:p>
        </w:tc>
      </w:tr>
      <w:tr>
        <w:tc>
          <w:tcPr>
            <w:tcW w:type="dxa" w:w="1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Snow</w:t>
            </w:r>
          </w:p>
        </w:tc>
        <w:tc>
          <w:tcPr>
            <w:tcW w:type="dxa" w:w="28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Daily snowfall ≥ 1 in</w:t>
            </w:r>
          </w:p>
        </w:tc>
        <w:tc>
          <w:tcPr>
            <w:tcW w:type="dxa" w:w="53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Surface and access disruption</w:t>
            </w:r>
          </w:p>
        </w:tc>
      </w:tr>
      <w:tr>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Wind</w:t>
            </w:r>
          </w:p>
        </w:tc>
        <w:tc>
          <w:tcPr>
            <w:tcW w:type="dxa" w:w="28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Maximum gust ≥ 35 mph</w:t>
            </w:r>
          </w:p>
        </w:tc>
        <w:tc>
          <w:tcPr>
            <w:tcW w:type="dxa" w:w="53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Stability and safety concern</w:t>
            </w:r>
          </w:p>
        </w:tc>
      </w:tr>
      <w:tr>
        <w:tc>
          <w:tcPr>
            <w:tcW w:type="dxa" w:w="1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Thunder</w:t>
            </w:r>
          </w:p>
        </w:tc>
        <w:tc>
          <w:tcPr>
            <w:tcW w:type="dxa" w:w="28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WMO weather code ≥ 95</w:t>
            </w:r>
          </w:p>
        </w:tc>
        <w:tc>
          <w:tcPr>
            <w:tcW w:type="dxa" w:w="53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Thunderstorm or severe-convective signal</w:t>
            </w:r>
          </w:p>
        </w:tc>
      </w:tr>
    </w:tbl>
    <w:p>
      <w:pPr>
        <w:spacing w:after="40"/>
      </w:pPr>
    </w:p>
    <w:p>
      <w:pPr>
        <w:pStyle w:val="SourceNote"/>
        <w:spacing w:before="0" w:after="120" w:line="283" w:lineRule="auto"/>
      </w:pPr>
      <w:r>
        <w:rPr>
          <w:rFonts w:ascii="IBM Plex Sans" w:hAnsi="IBM Plex Sans"/>
          <w:color w:val="202A2E"/>
          <w:sz w:val="20"/>
        </w:rPr>
        <w:t>Higher impact tiers use more severe thresholds. A day may carry multiple drivers—for example, precipitation, snow, and high gusts. The Weather Events sheet retains the threshold driver text so the signal remains auditable.</w:t>
      </w:r>
    </w:p>
    <w:tbl>
      <w:tblPr>
        <w:tblW w:type="dxa" w:w="9878"/>
        <w:jc w:val="left"/>
        <w:tblLayout w:type="fixed"/>
        <w:tblLook w:firstColumn="1" w:firstRow="1" w:lastColumn="0" w:lastRow="0" w:noHBand="0" w:noVBand="1" w:val="04A0"/>
        <w:tblInd w:w="120" w:type="dxa"/>
      </w:tblPr>
      <w:tblGrid>
        <w:gridCol w:w="9878"/>
      </w:tblGrid>
      <w:tr>
        <w:tc>
          <w:tcPr>
            <w:tcW w:type="dxa" w:w="9878"/>
            <w:tcMar>
              <w:top w:w="90" w:type="dxa"/>
              <w:start w:w="120" w:type="dxa"/>
              <w:bottom w:w="90" w:type="dxa"/>
              <w:end w:w="120" w:type="dxa"/>
            </w:tcMar>
            <w:shd w:fill="E7C3B5"/>
          </w:tcPr>
          <w:p>
            <w:pPr>
              <w:spacing w:after="40"/>
            </w:pPr>
            <w:r>
              <w:rPr>
                <w:rFonts w:ascii="IBM Plex Mono" w:hAnsi="IBM Plex Mono"/>
                <w:b/>
                <w:color w:val="A94728"/>
                <w:sz w:val="16"/>
              </w:rPr>
              <w:t>FORECAST REFRESH</w:t>
            </w:r>
          </w:p>
          <w:p>
            <w:pPr>
              <w:spacing w:after="0" w:line="276" w:lineRule="auto"/>
            </w:pPr>
            <w:r>
              <w:rPr>
                <w:rFonts w:ascii="IBM Plex Sans" w:hAnsi="IBM Plex Sans"/>
                <w:color w:val="202A2E"/>
                <w:sz w:val="19"/>
              </w:rPr>
              <w:t>Use the climate projection for seasonal capacity and scenario planning only. Replace it with a National Weather Service or other operational forecast when the service week is near, and retain the projection label in archived analysis.</w:t>
            </w:r>
          </w:p>
        </w:tc>
      </w:tr>
    </w:tbl>
    <w:p>
      <w:pPr>
        <w:spacing w:after="40"/>
      </w:pPr>
    </w:p>
    <w:p>
      <w:pPr>
        <w:spacing w:before="0" w:after="140" w:line="240" w:lineRule="auto"/>
        <w:keepNext w:val="1"/>
      </w:pPr>
      <w:r>
        <w:rPr>
          <w:rFonts w:ascii="IBM Plex Mono" w:hAnsi="IBM Plex Mono"/>
          <w:b/>
          <w:caps/>
          <w:color w:val="A94728"/>
          <w:sz w:val="16"/>
        </w:rPr>
        <w:t>05 / SOURCE SYSTEM</w:t>
      </w:r>
    </w:p>
    <w:p>
      <w:pPr>
        <w:pStyle w:val="Heading1"/>
      </w:pPr>
      <w:r>
        <w:t>Source hierarchy</w:t>
      </w:r>
    </w:p>
    <w:p>
      <w:pPr>
        <w:spacing w:before="0" w:after="120" w:line="283" w:lineRule="auto"/>
      </w:pPr>
      <w:r>
        <w:rPr>
          <w:rFonts w:ascii="IBM Plex Sans" w:hAnsi="IBM Plex Sans"/>
          <w:color w:val="202A2E"/>
          <w:sz w:val="20"/>
        </w:rPr>
        <w:t>No single calendar captures Columbus demand. Use broad discovery to find candidates, authoritative organizer and league pages to verify dates and locations, and operating-condition sources to understand whether people can or are likely to ride.</w:t>
      </w:r>
    </w:p>
    <w:tbl>
      <w:tblPr>
        <w:tblW w:type="dxa" w:w="9878"/>
        <w:tblLayout w:type="fixed"/>
        <w:tblLook w:firstColumn="1" w:firstRow="1" w:lastColumn="0" w:lastRow="0" w:noHBand="0" w:noVBand="1" w:val="04A0"/>
        <w:jc w:val="left"/>
        <w:tblInd w:w="120" w:type="dxa"/>
      </w:tblPr>
      <w:tblGrid>
        <w:gridCol w:w="1700"/>
        <w:gridCol w:w="2800"/>
        <w:gridCol w:w="5378"/>
      </w:tblGrid>
      <w:tr>
        <w:trPr>
          <w:tblHeader w:val="true"/>
        </w:trPr>
        <w:tc>
          <w:tcPr>
            <w:tcW w:type="dxa" w:w="1700"/>
            <w:tcMar>
              <w:top w:w="90" w:type="dxa"/>
              <w:start w:w="120" w:type="dxa"/>
              <w:bottom w:w="90" w:type="dxa"/>
              <w:end w:w="120" w:type="dxa"/>
            </w:tcMar>
            <w:shd w:fill="236A73"/>
            <w:vAlign w:val="center"/>
          </w:tcPr>
          <w:p>
            <w:pPr>
              <w:spacing w:after="0"/>
            </w:pPr>
            <w:r>
              <w:rPr>
                <w:rFonts w:ascii="IBM Plex Mono" w:hAnsi="IBM Plex Mono"/>
                <w:b/>
                <w:color w:val="FFFFFF"/>
                <w:sz w:val="16"/>
              </w:rPr>
              <w:t>Layer</w:t>
            </w:r>
          </w:p>
        </w:tc>
        <w:tc>
          <w:tcPr>
            <w:tcW w:type="dxa" w:w="2800"/>
            <w:tcMar>
              <w:top w:w="90" w:type="dxa"/>
              <w:start w:w="120" w:type="dxa"/>
              <w:bottom w:w="90" w:type="dxa"/>
              <w:end w:w="120" w:type="dxa"/>
            </w:tcMar>
            <w:shd w:fill="236A73"/>
            <w:vAlign w:val="center"/>
          </w:tcPr>
          <w:p>
            <w:pPr>
              <w:spacing w:after="0"/>
            </w:pPr>
            <w:r>
              <w:rPr>
                <w:rFonts w:ascii="IBM Plex Mono" w:hAnsi="IBM Plex Mono"/>
                <w:b/>
                <w:color w:val="FFFFFF"/>
                <w:sz w:val="16"/>
              </w:rPr>
              <w:t>Question</w:t>
            </w:r>
          </w:p>
        </w:tc>
        <w:tc>
          <w:tcPr>
            <w:tcW w:type="dxa" w:w="5378"/>
            <w:tcMar>
              <w:top w:w="90" w:type="dxa"/>
              <w:start w:w="120" w:type="dxa"/>
              <w:bottom w:w="90" w:type="dxa"/>
              <w:end w:w="120" w:type="dxa"/>
            </w:tcMar>
            <w:shd w:fill="236A73"/>
            <w:vAlign w:val="center"/>
          </w:tcPr>
          <w:p>
            <w:pPr>
              <w:spacing w:after="0"/>
            </w:pPr>
            <w:r>
              <w:rPr>
                <w:rFonts w:ascii="IBM Plex Mono" w:hAnsi="IBM Plex Mono"/>
                <w:b/>
                <w:color w:val="FFFFFF"/>
                <w:sz w:val="16"/>
              </w:rPr>
              <w:t>Use</w:t>
            </w:r>
          </w:p>
        </w:tc>
      </w:tr>
      <w:tr>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Discovery</w:t>
            </w:r>
          </w:p>
        </w:tc>
        <w:tc>
          <w:tcPr>
            <w:tcW w:type="dxa" w:w="28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What may be happening?</w:t>
            </w:r>
          </w:p>
        </w:tc>
        <w:tc>
          <w:tcPr>
            <w:tcW w:type="dxa" w:w="53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Experience Columbus, citywide calendars, local reporting, ticketing and neighborhood calendars</w:t>
            </w:r>
          </w:p>
        </w:tc>
      </w:tr>
      <w:tr>
        <w:tc>
          <w:tcPr>
            <w:tcW w:type="dxa" w:w="17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Authority</w:t>
            </w:r>
          </w:p>
        </w:tc>
        <w:tc>
          <w:tcPr>
            <w:tcW w:type="dxa" w:w="2800"/>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When and where is it happening?</w:t>
            </w:r>
          </w:p>
        </w:tc>
        <w:tc>
          <w:tcPr>
            <w:tcW w:type="dxa" w:w="5378"/>
            <w:shd w:fill="F3F0E8"/>
            <w:vAlign w:val="center"/>
            <w:tcMar>
              <w:top w:w="90" w:type="dxa"/>
              <w:start w:w="120" w:type="dxa"/>
              <w:bottom w:w="90" w:type="dxa"/>
              <w:end w:w="120" w:type="dxa"/>
            </w:tcMar>
          </w:tcPr>
          <w:p>
            <w:pPr>
              <w:spacing w:after="0" w:line="252" w:lineRule="auto"/>
            </w:pPr>
            <w:r>
              <w:rPr>
                <w:rFonts w:ascii="IBM Plex Sans" w:hAnsi="IBM Plex Sans"/>
                <w:color w:val="202A2E"/>
                <w:sz w:val="17"/>
              </w:rPr>
              <w:t>Organizer, venue, league, team, permit, or official schedule</w:t>
            </w:r>
          </w:p>
        </w:tc>
      </w:tr>
      <w:tr>
        <w:tc>
          <w:tcPr>
            <w:tcW w:type="dxa" w:w="17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Conditions</w:t>
            </w:r>
          </w:p>
        </w:tc>
        <w:tc>
          <w:tcPr>
            <w:tcW w:type="dxa" w:w="2800"/>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Will demand or access change?</w:t>
            </w:r>
          </w:p>
        </w:tc>
        <w:tc>
          <w:tcPr>
            <w:tcW w:type="dxa" w:w="5378"/>
            <w:shd w:fill="FBFAF6"/>
            <w:vAlign w:val="center"/>
            <w:tcMar>
              <w:top w:w="90" w:type="dxa"/>
              <w:start w:w="120" w:type="dxa"/>
              <w:bottom w:w="90" w:type="dxa"/>
              <w:end w:w="120" w:type="dxa"/>
            </w:tcMar>
          </w:tcPr>
          <w:p>
            <w:pPr>
              <w:spacing w:after="0" w:line="252" w:lineRule="auto"/>
            </w:pPr>
            <w:r>
              <w:rPr>
                <w:rFonts w:ascii="IBM Plex Sans" w:hAnsi="IBM Plex Sans"/>
                <w:color w:val="202A2E"/>
                <w:sz w:val="17"/>
              </w:rPr>
              <w:t>Weather, closures, construction, transit alerts, and campus calendars</w:t>
            </w:r>
          </w:p>
        </w:tc>
      </w:tr>
    </w:tbl>
    <w:p>
      <w:pPr>
        <w:spacing w:after="40"/>
      </w:pPr>
    </w:p>
    <w:p>
      <w:pPr>
        <w:pStyle w:val="Heading2"/>
      </w:pPr>
      <w:r>
        <w:t>Priority event and schedule sources</w:t>
      </w:r>
    </w:p>
    <w:tbl>
      <w:tblPr>
        <w:tblW w:type="dxa" w:w="9878"/>
        <w:tblLayout w:type="fixed"/>
        <w:tblLook w:firstColumn="1" w:firstRow="1" w:lastColumn="0" w:lastRow="0" w:noHBand="0" w:noVBand="1" w:val="04A0"/>
        <w:jc w:val="left"/>
        <w:tblInd w:w="120" w:type="dxa"/>
      </w:tblPr>
      <w:tblGrid>
        <w:gridCol w:w="2400"/>
        <w:gridCol w:w="3300"/>
        <w:gridCol w:w="4178"/>
      </w:tblGrid>
      <w:tr>
        <w:trPr>
          <w:tblHeader w:val="true"/>
        </w:trPr>
        <w:tc>
          <w:tcPr>
            <w:tcW w:type="dxa" w:w="2400"/>
            <w:tcMar>
              <w:top w:w="90" w:type="dxa"/>
              <w:start w:w="120" w:type="dxa"/>
              <w:bottom w:w="90" w:type="dxa"/>
              <w:end w:w="120" w:type="dxa"/>
            </w:tcMar>
            <w:shd w:fill="202A2E"/>
            <w:vAlign w:val="center"/>
          </w:tcPr>
          <w:p>
            <w:pPr>
              <w:spacing w:after="0"/>
            </w:pPr>
            <w:r>
              <w:rPr>
                <w:rFonts w:ascii="IBM Plex Mono" w:hAnsi="IBM Plex Mono"/>
                <w:b/>
                <w:color w:val="FFFFFF"/>
                <w:sz w:val="16"/>
              </w:rPr>
              <w:t>Source</w:t>
            </w:r>
          </w:p>
        </w:tc>
        <w:tc>
          <w:tcPr>
            <w:tcW w:type="dxa" w:w="3300"/>
            <w:tcMar>
              <w:top w:w="90" w:type="dxa"/>
              <w:start w:w="120" w:type="dxa"/>
              <w:bottom w:w="90" w:type="dxa"/>
              <w:end w:w="120" w:type="dxa"/>
            </w:tcMar>
            <w:shd w:fill="202A2E"/>
            <w:vAlign w:val="center"/>
          </w:tcPr>
          <w:p>
            <w:pPr>
              <w:spacing w:after="0"/>
            </w:pPr>
            <w:r>
              <w:rPr>
                <w:rFonts w:ascii="IBM Plex Mono" w:hAnsi="IBM Plex Mono"/>
                <w:b/>
                <w:color w:val="FFFFFF"/>
                <w:sz w:val="16"/>
              </w:rPr>
              <w:t>Coverage</w:t>
            </w:r>
          </w:p>
        </w:tc>
        <w:tc>
          <w:tcPr>
            <w:tcW w:type="dxa" w:w="4178"/>
            <w:tcMar>
              <w:top w:w="90" w:type="dxa"/>
              <w:start w:w="120" w:type="dxa"/>
              <w:bottom w:w="90" w:type="dxa"/>
              <w:end w:w="120" w:type="dxa"/>
            </w:tcMar>
            <w:shd w:fill="202A2E"/>
            <w:vAlign w:val="center"/>
          </w:tcPr>
          <w:p>
            <w:pPr>
              <w:spacing w:after="0"/>
            </w:pPr>
            <w:r>
              <w:rPr>
                <w:rFonts w:ascii="IBM Plex Mono" w:hAnsi="IBM Plex Mono"/>
                <w:b/>
                <w:color w:val="FFFFFF"/>
                <w:sz w:val="16"/>
              </w:rPr>
              <w:t>URL</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Experience Columbus</w:t>
            </w:r>
          </w:p>
        </w:tc>
        <w:tc>
          <w:tcPr>
            <w:tcW w:type="dxa" w:w="33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Citywide annual events and festivals</w:t>
            </w:r>
          </w:p>
        </w:tc>
        <w:tc>
          <w:tcPr>
            <w:tcW w:type="dxa" w:w="4178"/>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https://www.experiencecolumbus.com/events/festivals-and-annual-events/</w:t>
            </w:r>
          </w:p>
        </w:tc>
      </w:tr>
      <w:tr>
        <w:tc>
          <w:tcPr>
            <w:tcW w:type="dxa" w:w="24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City of Columbus</w:t>
            </w:r>
          </w:p>
        </w:tc>
        <w:tc>
          <w:tcPr>
            <w:tcW w:type="dxa" w:w="33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City-produced events, bulletins, permits, and street use</w:t>
            </w:r>
          </w:p>
        </w:tc>
        <w:tc>
          <w:tcPr>
            <w:tcW w:type="dxa" w:w="4178"/>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https://www.columbus.gov/</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Ohio State Fair</w:t>
            </w:r>
          </w:p>
        </w:tc>
        <w:tc>
          <w:tcPr>
            <w:tcW w:type="dxa" w:w="33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Fair dates, hours, concerts, and operations</w:t>
            </w:r>
          </w:p>
        </w:tc>
        <w:tc>
          <w:tcPr>
            <w:tcW w:type="dxa" w:w="4178"/>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https://www.ohiostatefair.com/</w:t>
            </w:r>
          </w:p>
        </w:tc>
      </w:tr>
      <w:tr>
        <w:tc>
          <w:tcPr>
            <w:tcW w:type="dxa" w:w="24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Greater Columbus Convention Center</w:t>
            </w:r>
          </w:p>
        </w:tc>
        <w:tc>
          <w:tcPr>
            <w:tcW w:type="dxa" w:w="33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Convention and downtown event verification</w:t>
            </w:r>
          </w:p>
        </w:tc>
        <w:tc>
          <w:tcPr>
            <w:tcW w:type="dxa" w:w="4178"/>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https://columbusconventions.com/</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Columbus Crew</w:t>
            </w:r>
          </w:p>
        </w:tc>
        <w:tc>
          <w:tcPr>
            <w:tcW w:type="dxa" w:w="33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Official home-match schedule</w:t>
            </w:r>
          </w:p>
        </w:tc>
        <w:tc>
          <w:tcPr>
            <w:tcW w:type="dxa" w:w="4178"/>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https://www.columbuscrew.com/schedule/</w:t>
            </w:r>
          </w:p>
        </w:tc>
      </w:tr>
      <w:tr>
        <w:tc>
          <w:tcPr>
            <w:tcW w:type="dxa" w:w="24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Columbus Blue Jackets / NHL</w:t>
            </w:r>
          </w:p>
        </w:tc>
        <w:tc>
          <w:tcPr>
            <w:tcW w:type="dxa" w:w="33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Official home-game schedule</w:t>
            </w:r>
          </w:p>
        </w:tc>
        <w:tc>
          <w:tcPr>
            <w:tcW w:type="dxa" w:w="4178"/>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https://www.nhl.com/bluejackets/schedule</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Columbus Clippers / MiLB</w:t>
            </w:r>
          </w:p>
        </w:tc>
        <w:tc>
          <w:tcPr>
            <w:tcW w:type="dxa" w:w="33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Official home-game schedule</w:t>
            </w:r>
          </w:p>
        </w:tc>
        <w:tc>
          <w:tcPr>
            <w:tcW w:type="dxa" w:w="4178"/>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https://www.milb.com/columbus/schedule</w:t>
            </w:r>
          </w:p>
        </w:tc>
      </w:tr>
      <w:tr>
        <w:tc>
          <w:tcPr>
            <w:tcW w:type="dxa" w:w="24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Columbus Fury</w:t>
            </w:r>
          </w:p>
        </w:tc>
        <w:tc>
          <w:tcPr>
            <w:tcW w:type="dxa" w:w="33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Official home-match schedule</w:t>
            </w:r>
          </w:p>
        </w:tc>
        <w:tc>
          <w:tcPr>
            <w:tcW w:type="dxa" w:w="4178"/>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https://provolleyball.com/teams/columbus-fury</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Ohio State Athletics</w:t>
            </w:r>
          </w:p>
        </w:tc>
        <w:tc>
          <w:tcPr>
            <w:tcW w:type="dxa" w:w="33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Football, basketball, and hockey schedules</w:t>
            </w:r>
          </w:p>
        </w:tc>
        <w:tc>
          <w:tcPr>
            <w:tcW w:type="dxa" w:w="4178"/>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https://ohiostatebuckeyes.com/</w:t>
            </w:r>
          </w:p>
        </w:tc>
      </w:tr>
      <w:tr>
        <w:tc>
          <w:tcPr>
            <w:tcW w:type="dxa" w:w="24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CAPA</w:t>
            </w:r>
          </w:p>
        </w:tc>
        <w:tc>
          <w:tcPr>
            <w:tcW w:type="dxa" w:w="3300"/>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Downtown theatre and performing arts</w:t>
            </w:r>
          </w:p>
        </w:tc>
        <w:tc>
          <w:tcPr>
            <w:tcW w:type="dxa" w:w="4178"/>
            <w:shd w:fill="F3F0E8"/>
            <w:vAlign w:val="center"/>
            <w:tcMar>
              <w:top w:w="90" w:type="dxa"/>
              <w:start w:w="120" w:type="dxa"/>
              <w:bottom w:w="90" w:type="dxa"/>
              <w:end w:w="120" w:type="dxa"/>
            </w:tcMar>
          </w:tcPr>
          <w:p>
            <w:pPr>
              <w:spacing w:after="0" w:line="252" w:lineRule="auto"/>
            </w:pPr>
            <w:r>
              <w:rPr>
                <w:rFonts w:ascii="IBM Plex Sans" w:hAnsi="IBM Plex Sans"/>
                <w:color w:val="202A2E"/>
                <w:sz w:val="15"/>
              </w:rPr>
              <w:t>https://www.capa.com/</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PromoWest</w:t>
            </w:r>
          </w:p>
        </w:tc>
        <w:tc>
          <w:tcPr>
            <w:tcW w:type="dxa" w:w="3300"/>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KEMBA Live!, Newport, and related concerts</w:t>
            </w:r>
          </w:p>
        </w:tc>
        <w:tc>
          <w:tcPr>
            <w:tcW w:type="dxa" w:w="4178"/>
            <w:shd w:fill="FBFAF6"/>
            <w:vAlign w:val="center"/>
            <w:tcMar>
              <w:top w:w="90" w:type="dxa"/>
              <w:start w:w="120" w:type="dxa"/>
              <w:bottom w:w="90" w:type="dxa"/>
              <w:end w:w="120" w:type="dxa"/>
            </w:tcMar>
          </w:tcPr>
          <w:p>
            <w:pPr>
              <w:spacing w:after="0" w:line="252" w:lineRule="auto"/>
            </w:pPr>
            <w:r>
              <w:rPr>
                <w:rFonts w:ascii="IBM Plex Sans" w:hAnsi="IBM Plex Sans"/>
                <w:color w:val="202A2E"/>
                <w:sz w:val="15"/>
              </w:rPr>
              <w:t>https://promowestlive.com/</w:t>
            </w:r>
          </w:p>
        </w:tc>
      </w:tr>
    </w:tbl>
    <w:p>
      <w:pPr>
        <w:spacing w:after="40"/>
      </w:pPr>
    </w:p>
    <w:p>
      <w:pPr>
        <w:pStyle w:val="Heading2"/>
      </w:pPr>
      <w:r>
        <w:t>Demand-modifying sources</w:t>
      </w:r>
    </w:p>
    <w:tbl>
      <w:tblPr>
        <w:tblW w:type="dxa" w:w="9878"/>
        <w:tblLayout w:type="fixed"/>
        <w:tblLook w:firstColumn="1" w:firstRow="1" w:lastColumn="0" w:lastRow="0" w:noHBand="0" w:noVBand="1" w:val="04A0"/>
        <w:jc w:val="left"/>
        <w:tblInd w:w="120" w:type="dxa"/>
      </w:tblPr>
      <w:tblGrid>
        <w:gridCol w:w="2400"/>
        <w:gridCol w:w="3600"/>
        <w:gridCol w:w="3878"/>
      </w:tblGrid>
      <w:tr>
        <w:trPr>
          <w:tblHeader w:val="true"/>
        </w:trPr>
        <w:tc>
          <w:tcPr>
            <w:tcW w:type="dxa" w:w="2400"/>
            <w:tcMar>
              <w:top w:w="90" w:type="dxa"/>
              <w:start w:w="120" w:type="dxa"/>
              <w:bottom w:w="90" w:type="dxa"/>
              <w:end w:w="120" w:type="dxa"/>
            </w:tcMar>
            <w:shd w:fill="236A73"/>
            <w:vAlign w:val="center"/>
          </w:tcPr>
          <w:p>
            <w:pPr>
              <w:spacing w:after="0"/>
            </w:pPr>
            <w:r>
              <w:rPr>
                <w:rFonts w:ascii="IBM Plex Mono" w:hAnsi="IBM Plex Mono"/>
                <w:b/>
                <w:color w:val="FFFFFF"/>
                <w:sz w:val="16"/>
              </w:rPr>
              <w:t>Source</w:t>
            </w:r>
          </w:p>
        </w:tc>
        <w:tc>
          <w:tcPr>
            <w:tcW w:type="dxa" w:w="3600"/>
            <w:tcMar>
              <w:top w:w="90" w:type="dxa"/>
              <w:start w:w="120" w:type="dxa"/>
              <w:bottom w:w="90" w:type="dxa"/>
              <w:end w:w="120" w:type="dxa"/>
            </w:tcMar>
            <w:shd w:fill="236A73"/>
            <w:vAlign w:val="center"/>
          </w:tcPr>
          <w:p>
            <w:pPr>
              <w:spacing w:after="0"/>
            </w:pPr>
            <w:r>
              <w:rPr>
                <w:rFonts w:ascii="IBM Plex Mono" w:hAnsi="IBM Plex Mono"/>
                <w:b/>
                <w:color w:val="FFFFFF"/>
                <w:sz w:val="16"/>
              </w:rPr>
              <w:t>Coverage</w:t>
            </w:r>
          </w:p>
        </w:tc>
        <w:tc>
          <w:tcPr>
            <w:tcW w:type="dxa" w:w="3878"/>
            <w:tcMar>
              <w:top w:w="90" w:type="dxa"/>
              <w:start w:w="120" w:type="dxa"/>
              <w:bottom w:w="90" w:type="dxa"/>
              <w:end w:w="120" w:type="dxa"/>
            </w:tcMar>
            <w:shd w:fill="236A73"/>
            <w:vAlign w:val="center"/>
          </w:tcPr>
          <w:p>
            <w:pPr>
              <w:spacing w:after="0"/>
            </w:pPr>
            <w:r>
              <w:rPr>
                <w:rFonts w:ascii="IBM Plex Mono" w:hAnsi="IBM Plex Mono"/>
                <w:b/>
                <w:color w:val="FFFFFF"/>
                <w:sz w:val="16"/>
              </w:rPr>
              <w:t>URL</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Open-Meteo archive and climate APIs</w:t>
            </w:r>
          </w:p>
        </w:tc>
        <w:tc>
          <w:tcPr>
            <w:tcW w:type="dxa" w:w="3600"/>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Observed reanalysis and CMCC climate-model projection</w:t>
            </w:r>
          </w:p>
        </w:tc>
        <w:tc>
          <w:tcPr>
            <w:tcW w:type="dxa" w:w="3878"/>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https://open-meteo.com/</w:t>
            </w:r>
          </w:p>
        </w:tc>
      </w:tr>
      <w:tr>
        <w:tc>
          <w:tcPr>
            <w:tcW w:type="dxa" w:w="2400"/>
            <w:shd w:fill="F3F0E8"/>
            <w:vAlign w:val="center"/>
            <w:tcMar>
              <w:top w:w="90" w:type="dxa"/>
              <w:start w:w="120" w:type="dxa"/>
              <w:bottom w:w="90" w:type="dxa"/>
              <w:end w:w="120" w:type="dxa"/>
            </w:tcMar>
          </w:tcPr>
          <w:p>
            <w:pPr>
              <w:spacing w:after="0" w:line="252" w:lineRule="auto"/>
            </w:pPr>
            <w:r>
              <w:rPr>
                <w:rFonts w:ascii="IBM Plex Sans" w:hAnsi="IBM Plex Sans"/>
                <w:color w:val="202A2E"/>
                <w:sz w:val="16"/>
              </w:rPr>
              <w:t>National Weather Service Wilmington</w:t>
            </w:r>
          </w:p>
        </w:tc>
        <w:tc>
          <w:tcPr>
            <w:tcW w:type="dxa" w:w="3600"/>
            <w:shd w:fill="F3F0E8"/>
            <w:vAlign w:val="center"/>
            <w:tcMar>
              <w:top w:w="90" w:type="dxa"/>
              <w:start w:w="120" w:type="dxa"/>
              <w:bottom w:w="90" w:type="dxa"/>
              <w:end w:w="120" w:type="dxa"/>
            </w:tcMar>
          </w:tcPr>
          <w:p>
            <w:pPr>
              <w:spacing w:after="0" w:line="252" w:lineRule="auto"/>
            </w:pPr>
            <w:r>
              <w:rPr>
                <w:rFonts w:ascii="IBM Plex Sans" w:hAnsi="IBM Plex Sans"/>
                <w:color w:val="202A2E"/>
                <w:sz w:val="16"/>
              </w:rPr>
              <w:t>Near-term forecasts, watches, warnings, and climate context</w:t>
            </w:r>
          </w:p>
        </w:tc>
        <w:tc>
          <w:tcPr>
            <w:tcW w:type="dxa" w:w="3878"/>
            <w:shd w:fill="F3F0E8"/>
            <w:vAlign w:val="center"/>
            <w:tcMar>
              <w:top w:w="90" w:type="dxa"/>
              <w:start w:w="120" w:type="dxa"/>
              <w:bottom w:w="90" w:type="dxa"/>
              <w:end w:w="120" w:type="dxa"/>
            </w:tcMar>
          </w:tcPr>
          <w:p>
            <w:pPr>
              <w:spacing w:after="0" w:line="252" w:lineRule="auto"/>
            </w:pPr>
            <w:r>
              <w:rPr>
                <w:rFonts w:ascii="IBM Plex Sans" w:hAnsi="IBM Plex Sans"/>
                <w:color w:val="202A2E"/>
                <w:sz w:val="16"/>
              </w:rPr>
              <w:t>https://www.weather.gov/iln/</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OHGO</w:t>
            </w:r>
          </w:p>
        </w:tc>
        <w:tc>
          <w:tcPr>
            <w:tcW w:type="dxa" w:w="3600"/>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Planned closures, construction, incidents, and traffic</w:t>
            </w:r>
          </w:p>
        </w:tc>
        <w:tc>
          <w:tcPr>
            <w:tcW w:type="dxa" w:w="3878"/>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https://www.ohgo.com/</w:t>
            </w:r>
          </w:p>
        </w:tc>
      </w:tr>
      <w:tr>
        <w:tc>
          <w:tcPr>
            <w:tcW w:type="dxa" w:w="2400"/>
            <w:shd w:fill="F3F0E8"/>
            <w:vAlign w:val="center"/>
            <w:tcMar>
              <w:top w:w="90" w:type="dxa"/>
              <w:start w:w="120" w:type="dxa"/>
              <w:bottom w:w="90" w:type="dxa"/>
              <w:end w:w="120" w:type="dxa"/>
            </w:tcMar>
          </w:tcPr>
          <w:p>
            <w:pPr>
              <w:spacing w:after="0" w:line="252" w:lineRule="auto"/>
            </w:pPr>
            <w:r>
              <w:rPr>
                <w:rFonts w:ascii="IBM Plex Sans" w:hAnsi="IBM Plex Sans"/>
                <w:color w:val="202A2E"/>
                <w:sz w:val="16"/>
              </w:rPr>
              <w:t>COTA alerts</w:t>
            </w:r>
          </w:p>
        </w:tc>
        <w:tc>
          <w:tcPr>
            <w:tcW w:type="dxa" w:w="3600"/>
            <w:shd w:fill="F3F0E8"/>
            <w:vAlign w:val="center"/>
            <w:tcMar>
              <w:top w:w="90" w:type="dxa"/>
              <w:start w:w="120" w:type="dxa"/>
              <w:bottom w:w="90" w:type="dxa"/>
              <w:end w:w="120" w:type="dxa"/>
            </w:tcMar>
          </w:tcPr>
          <w:p>
            <w:pPr>
              <w:spacing w:after="0" w:line="252" w:lineRule="auto"/>
            </w:pPr>
            <w:r>
              <w:rPr>
                <w:rFonts w:ascii="IBM Plex Sans" w:hAnsi="IBM Plex Sans"/>
                <w:color w:val="202A2E"/>
                <w:sz w:val="16"/>
              </w:rPr>
              <w:t>Transit disruption or service changes</w:t>
            </w:r>
          </w:p>
        </w:tc>
        <w:tc>
          <w:tcPr>
            <w:tcW w:type="dxa" w:w="3878"/>
            <w:shd w:fill="F3F0E8"/>
            <w:vAlign w:val="center"/>
            <w:tcMar>
              <w:top w:w="90" w:type="dxa"/>
              <w:start w:w="120" w:type="dxa"/>
              <w:bottom w:w="90" w:type="dxa"/>
              <w:end w:w="120" w:type="dxa"/>
            </w:tcMar>
          </w:tcPr>
          <w:p>
            <w:pPr>
              <w:spacing w:after="0" w:line="252" w:lineRule="auto"/>
            </w:pPr>
            <w:r>
              <w:rPr>
                <w:rFonts w:ascii="IBM Plex Sans" w:hAnsi="IBM Plex Sans"/>
                <w:color w:val="202A2E"/>
                <w:sz w:val="16"/>
              </w:rPr>
              <w:t>https://www.cota.com/</w:t>
            </w:r>
          </w:p>
        </w:tc>
      </w:tr>
      <w:tr>
        <w:tc>
          <w:tcPr>
            <w:tcW w:type="dxa" w:w="2400"/>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Ohio State academic calendar</w:t>
            </w:r>
          </w:p>
        </w:tc>
        <w:tc>
          <w:tcPr>
            <w:tcW w:type="dxa" w:w="3600"/>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Move-in, commencement, breaks, and class cycles</w:t>
            </w:r>
          </w:p>
        </w:tc>
        <w:tc>
          <w:tcPr>
            <w:tcW w:type="dxa" w:w="3878"/>
            <w:shd w:fill="FBFAF6"/>
            <w:vAlign w:val="center"/>
            <w:tcMar>
              <w:top w:w="90" w:type="dxa"/>
              <w:start w:w="120" w:type="dxa"/>
              <w:bottom w:w="90" w:type="dxa"/>
              <w:end w:w="120" w:type="dxa"/>
            </w:tcMar>
          </w:tcPr>
          <w:p>
            <w:pPr>
              <w:spacing w:after="0" w:line="252" w:lineRule="auto"/>
            </w:pPr>
            <w:r>
              <w:rPr>
                <w:rFonts w:ascii="IBM Plex Sans" w:hAnsi="IBM Plex Sans"/>
                <w:color w:val="202A2E"/>
                <w:sz w:val="16"/>
              </w:rPr>
              <w:t>https://registrar.osu.edu/</w:t>
            </w:r>
          </w:p>
        </w:tc>
      </w:tr>
    </w:tbl>
    <w:p>
      <w:pPr>
        <w:spacing w:after="40"/>
      </w:pPr>
    </w:p>
    <w:p>
      <w:pPr>
        <w:spacing w:before="0" w:after="140" w:line="240" w:lineRule="auto"/>
        <w:keepNext w:val="1"/>
      </w:pPr>
      <w:r>
        <w:rPr>
          <w:rFonts w:ascii="IBM Plex Mono" w:hAnsi="IBM Plex Mono"/>
          <w:b/>
          <w:caps/>
          <w:color w:val="A94728"/>
          <w:sz w:val="16"/>
        </w:rPr>
        <w:t>06 / WEEKLY OPERATING PRACTICE</w:t>
      </w:r>
    </w:p>
    <w:p>
      <w:pPr>
        <w:pStyle w:val="Heading1"/>
      </w:pPr>
      <w:r>
        <w:t>A repeatable Monday-to-Sunday workflow</w:t>
      </w:r>
    </w:p>
    <w:p>
      <w:pPr>
        <w:spacing w:before="0" w:after="120" w:line="283" w:lineRule="auto"/>
      </w:pPr>
      <w:r>
        <w:rPr>
          <w:rFonts w:ascii="IBM Plex Sans" w:hAnsi="IBM Plex Sans"/>
          <w:color w:val="202A2E"/>
          <w:sz w:val="20"/>
        </w:rPr>
        <w:t>Recommended collection window: review the coming Monday through Sunday, then refresh high-impact records and operational weather 24 hours before they begin.</w:t>
      </w:r>
    </w:p>
    <w:p>
      <w:pPr>
        <w:pStyle w:val="ListNumber"/>
        <w:numPr>
          <w:ilvl w:val="0"/>
          <w:numId w:val="12"/>
        </w:numPr>
      </w:pPr>
      <w:r>
        <w:rPr>
          <w:rFonts w:ascii="IBM Plex Sans" w:hAnsi="IBM Plex Sans"/>
          <w:color w:val="202A2E"/>
          <w:sz w:val="20"/>
        </w:rPr>
        <w:t>Discover candidate events across citywide, downtown, neighborhood, venue, and local reporting sources.</w:t>
      </w:r>
    </w:p>
    <w:p>
      <w:pPr>
        <w:pStyle w:val="ListNumber"/>
        <w:numPr>
          <w:ilvl w:val="0"/>
          <w:numId w:val="12"/>
        </w:numPr>
      </w:pPr>
      <w:r>
        <w:rPr>
          <w:rFonts w:ascii="IBM Plex Sans" w:hAnsi="IBM Plex Sans"/>
          <w:color w:val="202A2E"/>
          <w:sz w:val="20"/>
        </w:rPr>
        <w:t>Confirm date, location, duration, status, and scale on an authoritative organizer, venue, league, team, or permit page.</w:t>
      </w:r>
    </w:p>
    <w:p>
      <w:pPr>
        <w:pStyle w:val="ListNumber"/>
        <w:numPr>
          <w:ilvl w:val="0"/>
          <w:numId w:val="12"/>
        </w:numPr>
      </w:pPr>
      <w:r>
        <w:rPr>
          <w:rFonts w:ascii="IBM Plex Sans" w:hAnsi="IBM Plex Sans"/>
          <w:color w:val="202A2E"/>
          <w:sz w:val="20"/>
        </w:rPr>
        <w:t>Classify the record as a major event or routine home game; do not duplicate it across both layers.</w:t>
      </w:r>
    </w:p>
    <w:p>
      <w:pPr>
        <w:pStyle w:val="ListNumber"/>
        <w:numPr>
          <w:ilvl w:val="0"/>
          <w:numId w:val="12"/>
        </w:numPr>
      </w:pPr>
      <w:r>
        <w:rPr>
          <w:rFonts w:ascii="IBM Plex Sans" w:hAnsi="IBM Plex Sans"/>
          <w:color w:val="202A2E"/>
          <w:sz w:val="20"/>
        </w:rPr>
        <w:t>Assign the start-date ISO fields and create one bridge record for every ISO week touched.</w:t>
      </w:r>
    </w:p>
    <w:p>
      <w:pPr>
        <w:pStyle w:val="ListNumber"/>
        <w:numPr>
          <w:ilvl w:val="0"/>
          <w:numId w:val="12"/>
        </w:numPr>
      </w:pPr>
      <w:r>
        <w:rPr>
          <w:rFonts w:ascii="IBM Plex Sans" w:hAnsi="IBM Plex Sans"/>
          <w:color w:val="202A2E"/>
          <w:sz w:val="20"/>
        </w:rPr>
        <w:t>Add observed or near-term weather, closures, transit disruption, campus conditions, and event overlap.</w:t>
      </w:r>
    </w:p>
    <w:p>
      <w:pPr>
        <w:pStyle w:val="ListNumber"/>
        <w:numPr>
          <w:ilvl w:val="0"/>
          <w:numId w:val="12"/>
        </w:numPr>
      </w:pPr>
      <w:r>
        <w:rPr>
          <w:rFonts w:ascii="IBM Plex Sans" w:hAnsi="IBM Plex Sans"/>
          <w:color w:val="202A2E"/>
          <w:sz w:val="20"/>
        </w:rPr>
        <w:t>Flag simultaneous high-impact activity around the Convention Center, Short North, Arena District, University District, Downtown riverfront, and Fairgrounds.</w:t>
      </w:r>
    </w:p>
    <w:p>
      <w:pPr>
        <w:pStyle w:val="ListNumber"/>
        <w:numPr>
          <w:ilvl w:val="0"/>
          <w:numId w:val="12"/>
        </w:numPr>
      </w:pPr>
      <w:r>
        <w:rPr>
          <w:rFonts w:ascii="IBM Plex Sans" w:hAnsi="IBM Plex Sans"/>
          <w:color w:val="202A2E"/>
          <w:sz w:val="20"/>
        </w:rPr>
        <w:t>Archive the source URL, capture date, confidence, and any evidence limitation.</w:t>
      </w:r>
    </w:p>
    <w:p>
      <w:pPr>
        <w:pStyle w:val="Heading2"/>
      </w:pPr>
      <w:r>
        <w:t>Minimum major-event record</w:t>
      </w:r>
    </w:p>
    <w:p>
      <w:pPr>
        <w:pStyle w:val="ListBullet"/>
        <w:numPr>
          <w:ilvl w:val="0"/>
          <w:numId w:val="10"/>
        </w:numPr>
      </w:pPr>
      <w:r>
        <w:rPr>
          <w:rFonts w:ascii="IBM Plex Sans" w:hAnsi="IBM Plex Sans"/>
          <w:color w:val="202A2E"/>
          <w:sz w:val="20"/>
        </w:rPr>
        <w:t>Event name, category, verification status, and authoritative source URL</w:t>
      </w:r>
    </w:p>
    <w:p>
      <w:pPr>
        <w:pStyle w:val="ListBullet"/>
        <w:numPr>
          <w:ilvl w:val="0"/>
          <w:numId w:val="10"/>
        </w:numPr>
      </w:pPr>
      <w:r>
        <w:rPr>
          <w:rFonts w:ascii="IBM Plex Sans" w:hAnsi="IBM Plex Sans"/>
          <w:color w:val="202A2E"/>
          <w:sz w:val="20"/>
        </w:rPr>
        <w:t>Start and end date; venue; area or neighborhood</w:t>
      </w:r>
    </w:p>
    <w:p>
      <w:pPr>
        <w:pStyle w:val="ListBullet"/>
        <w:numPr>
          <w:ilvl w:val="0"/>
          <w:numId w:val="10"/>
        </w:numPr>
      </w:pPr>
      <w:r>
        <w:rPr>
          <w:rFonts w:ascii="IBM Plex Sans" w:hAnsi="IBM Plex Sans"/>
          <w:color w:val="202A2E"/>
          <w:sz w:val="20"/>
        </w:rPr>
        <w:t>Impact tier and a plain-language impact basis</w:t>
      </w:r>
    </w:p>
    <w:p>
      <w:pPr>
        <w:pStyle w:val="ListBullet"/>
        <w:numPr>
          <w:ilvl w:val="0"/>
          <w:numId w:val="10"/>
        </w:numPr>
      </w:pPr>
      <w:r>
        <w:rPr>
          <w:rFonts w:ascii="IBM Plex Sans" w:hAnsi="IBM Plex Sans"/>
          <w:color w:val="202A2E"/>
          <w:sz w:val="20"/>
        </w:rPr>
        <w:t>Start ISO year, ISO week, and ISO week key</w:t>
      </w:r>
    </w:p>
    <w:p>
      <w:pPr>
        <w:pStyle w:val="ListBullet"/>
        <w:numPr>
          <w:ilvl w:val="0"/>
          <w:numId w:val="10"/>
        </w:numPr>
      </w:pPr>
      <w:r>
        <w:rPr>
          <w:rFonts w:ascii="IBM Plex Sans" w:hAnsi="IBM Plex Sans"/>
          <w:color w:val="202A2E"/>
          <w:sz w:val="20"/>
        </w:rPr>
        <w:t>Course footprint or closure information when relevant</w:t>
      </w:r>
    </w:p>
    <w:p>
      <w:pPr>
        <w:pStyle w:val="ListBullet"/>
        <w:numPr>
          <w:ilvl w:val="0"/>
          <w:numId w:val="10"/>
        </w:numPr>
      </w:pPr>
      <w:r>
        <w:rPr>
          <w:rFonts w:ascii="IBM Plex Sans" w:hAnsi="IBM Plex Sans"/>
          <w:color w:val="202A2E"/>
          <w:sz w:val="20"/>
        </w:rPr>
        <w:t>Expected arrival/departure pattern and overlapping events</w:t>
      </w:r>
    </w:p>
    <w:p>
      <w:pPr>
        <w:pStyle w:val="ListBullet"/>
        <w:numPr>
          <w:ilvl w:val="0"/>
          <w:numId w:val="10"/>
        </w:numPr>
      </w:pPr>
      <w:r>
        <w:rPr>
          <w:rFonts w:ascii="IBM Plex Sans" w:hAnsi="IBM Plex Sans"/>
          <w:color w:val="202A2E"/>
          <w:sz w:val="20"/>
        </w:rPr>
        <w:t>Collection timestamp and confidence or caveat</w:t>
      </w:r>
    </w:p>
    <w:p>
      <w:pPr>
        <w:pStyle w:val="Heading2"/>
      </w:pPr>
      <w:r>
        <w:t>A transparent impact model</w:t>
      </w:r>
    </w:p>
    <w:tbl>
      <w:tblPr>
        <w:tblW w:type="dxa" w:w="9878"/>
        <w:jc w:val="left"/>
        <w:tblLayout w:type="fixed"/>
        <w:tblLook w:firstColumn="1" w:firstRow="1" w:lastColumn="0" w:lastRow="0" w:noHBand="0" w:noVBand="1" w:val="04A0"/>
        <w:tblInd w:w="120" w:type="dxa"/>
      </w:tblPr>
      <w:tblGrid>
        <w:gridCol w:w="9878"/>
      </w:tblGrid>
      <w:tr>
        <w:tc>
          <w:tcPr>
            <w:tcW w:type="dxa" w:w="9878"/>
            <w:tcMar>
              <w:top w:w="90" w:type="dxa"/>
              <w:start w:w="120" w:type="dxa"/>
              <w:bottom w:w="90" w:type="dxa"/>
              <w:end w:w="120" w:type="dxa"/>
            </w:tcMar>
            <w:shd w:fill="D5E6E6"/>
          </w:tcPr>
          <w:p>
            <w:pPr>
              <w:spacing w:after="40"/>
            </w:pPr>
            <w:r>
              <w:rPr>
                <w:rFonts w:ascii="IBM Plex Mono" w:hAnsi="IBM Plex Mono"/>
                <w:b/>
                <w:color w:val="236A73"/>
                <w:sz w:val="16"/>
              </w:rPr>
              <w:t>WORKING MODEL</w:t>
            </w:r>
          </w:p>
          <w:p>
            <w:pPr>
              <w:spacing w:after="0" w:line="276" w:lineRule="auto"/>
            </w:pPr>
            <w:r>
              <w:rPr>
                <w:rFonts w:ascii="IBM Plex Sans" w:hAnsi="IBM Plex Sans"/>
                <w:color w:val="202A2E"/>
                <w:sz w:val="19"/>
              </w:rPr>
              <w:t>Demand context = attendance or venue scale × proximity to the service area × micromobility suitability × weather × event overlap × access conditions.</w:t>
            </w:r>
          </w:p>
        </w:tc>
      </w:tr>
    </w:tbl>
    <w:p>
      <w:pPr>
        <w:spacing w:after="40"/>
      </w:pPr>
    </w:p>
    <w:p>
      <w:pPr>
        <w:spacing w:before="0" w:after="120" w:line="283" w:lineRule="auto"/>
      </w:pPr>
      <w:r>
        <w:rPr>
          <w:rFonts w:ascii="IBM Plex Sans" w:hAnsi="IBM Plex Sans"/>
          <w:color w:val="202A2E"/>
          <w:sz w:val="20"/>
        </w:rPr>
        <w:t>This is a decision aid, not a validated causal model. Keep the component evidence visible. The strongest early-warning signal is often a cluster—a convention, arena event, and Short North activity ending within the same two-hour window—rather than one event in isolation.</w:t>
      </w:r>
    </w:p>
    <w:p>
      <w:pPr>
        <w:pStyle w:val="Heading2"/>
      </w:pPr>
      <w:r>
        <w:t>Quality-control checklist</w:t>
      </w:r>
    </w:p>
    <w:p>
      <w:pPr>
        <w:pStyle w:val="ListBullet"/>
        <w:numPr>
          <w:ilvl w:val="0"/>
          <w:numId w:val="10"/>
        </w:numPr>
      </w:pPr>
      <w:r>
        <w:rPr>
          <w:rFonts w:ascii="IBM Plex Sans" w:hAnsi="IBM Plex Sans"/>
          <w:color w:val="202A2E"/>
          <w:sz w:val="20"/>
        </w:rPr>
        <w:t>Prefer official sources and retain the exact source URL.</w:t>
      </w:r>
    </w:p>
    <w:p>
      <w:pPr>
        <w:pStyle w:val="ListBullet"/>
        <w:numPr>
          <w:ilvl w:val="0"/>
          <w:numId w:val="10"/>
        </w:numPr>
      </w:pPr>
      <w:r>
        <w:rPr>
          <w:rFonts w:ascii="IBM Plex Sans" w:hAnsi="IBM Plex Sans"/>
          <w:color w:val="202A2E"/>
          <w:sz w:val="20"/>
        </w:rPr>
        <w:t>Deduplicate by event, venue, and start time.</w:t>
      </w:r>
    </w:p>
    <w:p>
      <w:pPr>
        <w:pStyle w:val="ListBullet"/>
        <w:numPr>
          <w:ilvl w:val="0"/>
          <w:numId w:val="10"/>
        </w:numPr>
      </w:pPr>
      <w:r>
        <w:rPr>
          <w:rFonts w:ascii="IBM Plex Sans" w:hAnsi="IBM Plex Sans"/>
          <w:color w:val="202A2E"/>
          <w:sz w:val="20"/>
        </w:rPr>
        <w:t>Do not treat aggregator popularity as attendance.</w:t>
      </w:r>
    </w:p>
    <w:p>
      <w:pPr>
        <w:pStyle w:val="ListBullet"/>
        <w:numPr>
          <w:ilvl w:val="0"/>
          <w:numId w:val="10"/>
        </w:numPr>
      </w:pPr>
      <w:r>
        <w:rPr>
          <w:rFonts w:ascii="IBM Plex Sans" w:hAnsi="IBM Plex Sans"/>
          <w:color w:val="202A2E"/>
          <w:sz w:val="20"/>
        </w:rPr>
        <w:t>Do not treat a scheduled date as proof that the event occurred.</w:t>
      </w:r>
    </w:p>
    <w:p>
      <w:pPr>
        <w:pStyle w:val="ListBullet"/>
        <w:numPr>
          <w:ilvl w:val="0"/>
          <w:numId w:val="10"/>
        </w:numPr>
      </w:pPr>
      <w:r>
        <w:rPr>
          <w:rFonts w:ascii="IBM Plex Sans" w:hAnsi="IBM Plex Sans"/>
          <w:color w:val="202A2E"/>
          <w:sz w:val="20"/>
        </w:rPr>
        <w:t>Label projections and observed records separately.</w:t>
      </w:r>
    </w:p>
    <w:p>
      <w:pPr>
        <w:pStyle w:val="ListBullet"/>
        <w:numPr>
          <w:ilvl w:val="0"/>
          <w:numId w:val="10"/>
        </w:numPr>
      </w:pPr>
      <w:r>
        <w:rPr>
          <w:rFonts w:ascii="IBM Plex Sans" w:hAnsi="IBM Plex Sans"/>
          <w:color w:val="202A2E"/>
          <w:sz w:val="20"/>
        </w:rPr>
        <w:t>Do not invent unpublished fall or postseason schedules.</w:t>
      </w:r>
    </w:p>
    <w:p>
      <w:pPr>
        <w:pStyle w:val="ListBullet"/>
        <w:numPr>
          <w:ilvl w:val="0"/>
          <w:numId w:val="10"/>
        </w:numPr>
      </w:pPr>
      <w:r>
        <w:rPr>
          <w:rFonts w:ascii="IBM Plex Sans" w:hAnsi="IBM Plex Sans"/>
          <w:color w:val="202A2E"/>
          <w:sz w:val="20"/>
        </w:rPr>
        <w:t>Refresh weather-exposed or changeable events near the service week.</w:t>
      </w:r>
    </w:p>
    <w:p>
      <w:pPr>
        <w:spacing w:before="0" w:after="140" w:line="240" w:lineRule="auto"/>
        <w:keepNext w:val="1"/>
      </w:pPr>
      <w:r>
        <w:rPr>
          <w:rFonts w:ascii="IBM Plex Mono" w:hAnsi="IBM Plex Mono"/>
          <w:b/>
          <w:caps/>
          <w:color w:val="A94728"/>
          <w:sz w:val="16"/>
        </w:rPr>
        <w:t>07 / RIGHTS AND INDEPENDENCE</w:t>
      </w:r>
    </w:p>
    <w:p>
      <w:pPr>
        <w:pStyle w:val="Heading1"/>
      </w:pPr>
      <w:r>
        <w:t>Copyright and attribution</w:t>
      </w:r>
    </w:p>
    <w:p>
      <w:pPr>
        <w:spacing w:before="0" w:after="120" w:line="283" w:lineRule="auto"/>
      </w:pPr>
      <w:r>
        <w:rPr>
          <w:rFonts w:ascii="IBM Plex Sans" w:hAnsi="IBM Plex Sans"/>
          <w:color w:val="202A2E"/>
          <w:sz w:val="20"/>
        </w:rPr>
        <w:t>© 2026 Steven Needham. All rights reserved. This document’s original selection, organization, analysis, prose, and visual design are protected by copyright.</w:t>
      </w:r>
    </w:p>
    <w:p>
      <w:pPr>
        <w:spacing w:before="0" w:after="120" w:line="283" w:lineRule="auto"/>
      </w:pPr>
      <w:r>
        <w:rPr>
          <w:rFonts w:ascii="IBM Plex Sans" w:hAnsi="IBM Plex Sans"/>
          <w:color w:val="202A2E"/>
          <w:sz w:val="20"/>
        </w:rPr>
        <w:t>Event names, venue names, league and team names, trademarks, schedules, public records, and weather data remain the property of their respective owners or public sources. References are used for identification, research, and commentary. No affiliation, endorsement, sponsorship, or operator partnership is implied.</w:t>
      </w:r>
    </w:p>
    <w:p>
      <w:pPr>
        <w:spacing w:before="0" w:after="120" w:line="283" w:lineRule="auto"/>
      </w:pPr>
      <w:r>
        <w:rPr>
          <w:rFonts w:ascii="IBM Plex Sans" w:hAnsi="IBM Plex Sans"/>
          <w:color w:val="202A2E"/>
          <w:sz w:val="20"/>
        </w:rPr>
        <w:t>Columbus Micromobility Data is an independent, public-data-only observer project. The workbook and this guide do not use current or former employer-internal data, operator systems, credentials, or proprietary operational records.</w:t>
      </w:r>
    </w:p>
    <w:tbl>
      <w:tblPr>
        <w:tblW w:type="dxa" w:w="9878"/>
        <w:jc w:val="left"/>
        <w:tblLayout w:type="fixed"/>
        <w:tblLook w:firstColumn="1" w:firstRow="1" w:lastColumn="0" w:lastRow="0" w:noHBand="0" w:noVBand="1" w:val="04A0"/>
        <w:tblInd w:w="120" w:type="dxa"/>
      </w:tblPr>
      <w:tblGrid>
        <w:gridCol w:w="9878"/>
      </w:tblGrid>
      <w:tr>
        <w:tc>
          <w:tcPr>
            <w:tcW w:type="dxa" w:w="9878"/>
            <w:tcMar>
              <w:top w:w="90" w:type="dxa"/>
              <w:start w:w="120" w:type="dxa"/>
              <w:bottom w:w="90" w:type="dxa"/>
              <w:end w:w="120" w:type="dxa"/>
            </w:tcMar>
            <w:shd w:fill="E7C3B5"/>
          </w:tcPr>
          <w:p>
            <w:pPr>
              <w:spacing w:after="40"/>
            </w:pPr>
            <w:r>
              <w:rPr>
                <w:rFonts w:ascii="IBM Plex Mono" w:hAnsi="IBM Plex Mono"/>
                <w:b/>
                <w:color w:val="A94728"/>
                <w:sz w:val="16"/>
              </w:rPr>
              <w:t>EVIDENCE BOUNDARY</w:t>
            </w:r>
          </w:p>
          <w:p>
            <w:pPr>
              <w:spacing w:after="0" w:line="276" w:lineRule="auto"/>
            </w:pPr>
            <w:r>
              <w:rPr>
                <w:rFonts w:ascii="IBM Plex Sans" w:hAnsi="IBM Plex Sans"/>
                <w:color w:val="202A2E"/>
                <w:sz w:val="19"/>
              </w:rPr>
              <w:t>A scheduled event, public vehicle position, proximity cluster, weather threshold, or policy-boundary intersection is a review signal. It does not by itself establish ridership demand, causation, intent, fault, compliance, or a confirmed operational failure.</w:t>
            </w:r>
          </w:p>
        </w:tc>
      </w:tr>
    </w:tbl>
    <w:p>
      <w:pPr>
        <w:spacing w:after="40"/>
      </w:pPr>
    </w:p>
    <w:p>
      <w:pPr>
        <w:pStyle w:val="SourceNote"/>
        <w:spacing w:before="0" w:after="120" w:line="283" w:lineRule="auto"/>
      </w:pPr>
      <w:r>
        <w:rPr>
          <w:rFonts w:ascii="IBM Plex Sans" w:hAnsi="IBM Plex Sans"/>
          <w:i/>
          <w:color w:val="5D696D"/>
          <w:sz w:val="17"/>
        </w:rPr>
        <w:t xml:space="preserve">Companion workbook: </w:t>
      </w:r>
      <w:r>
        <w:rPr>
          <w:rFonts w:ascii="IBM Plex Mono" w:hAnsi="IBM Plex Mono"/>
          <w:b/>
          <w:color w:val="236A73"/>
          <w:sz w:val="16"/>
        </w:rPr>
        <w:t>ChatGPT Forecast.xlsx</w:t>
      </w:r>
      <w:r>
        <w:rPr>
          <w:rFonts w:ascii="IBM Plex Sans" w:hAnsi="IBM Plex Sans"/>
          <w:i/>
          <w:color w:val="5D696D"/>
          <w:sz w:val="17"/>
        </w:rPr>
        <w:t xml:space="preserve"> · Content reconciled 28 July 2026.</w:t>
      </w:r>
    </w:p>
    <w:sectPr w:rsidR="00FC693F" w:rsidRPr="0006063C" w:rsidSect="00034616">
      <w:headerReference w:type="default" r:id="rId9"/>
      <w:footerReference w:type="default" r:id="rId10"/>
      <w:pgSz w:w="12240" w:h="15840"/>
      <w:pgMar w:top="1123" w:right="1181" w:bottom="1037" w:left="1181" w:header="504"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IBM Plex Mono" w:hAnsi="IBM Plex Mono"/>
        <w:color w:val="5D696D"/>
        <w:sz w:val="15"/>
      </w:rPr>
      <w:t xml:space="preserve">PAGE </w:t>
    </w:r>
    <w:r>
      <w:rPr>
        <w:rFonts w:ascii="IBM Plex Mono" w:hAnsi="IBM Plex Mono"/>
        <w:color w:val="5D696D"/>
        <w:sz w:val="16"/>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8"/>
        </w:tabs>
        <w:ind w:left="548" w:hanging="274"/>
      </w:pPr>
    </w:lvl>
  </w:abstractNum>
  <w:num w:numId="10">
    <w:abstractNumId w:val="9"/>
  </w:num>
  <w:abstractNum w:abstractNumId="10">
    <w:multiLevelType w:val="singleLevel"/>
    <w:lvl w:ilvl="0">
      <w:start w:val="1"/>
      <w:numFmt w:val="decimal"/>
      <w:lvlText w:val="%1."/>
      <w:suff w:val="tab"/>
      <w:pPr>
        <w:tabs>
          <w:tab w:val="num" w:pos="720"/>
        </w:tabs>
        <w:ind w:left="720" w:hanging="360"/>
      </w:pPr>
    </w:lvl>
  </w:abstractNum>
  <w:num w:numId="11">
    <w:abstractNumId w:val="10"/>
  </w:num>
  <w:abstractNum w:abstractNumId="11">
    <w:multiLevelType w:val="singleLevel"/>
    <w:lvl w:ilvl="0">
      <w:start w:val="1"/>
      <w:numFmt w:val="decimal"/>
      <w:lvlText w:val="%1."/>
      <w:suff w:val="tab"/>
      <w:pPr>
        <w:tabs>
          <w:tab w:val="num" w:pos="720"/>
        </w:tabs>
        <w:ind w:left="720" w:hanging="360"/>
      </w:pPr>
    </w:lvl>
  </w:abstract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IBM Plex Sans" w:hAnsi="IBM Plex Sans"/>
      <w:color w:val="202A2E"/>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Newsreader" w:hAnsi="Newsreader"/>
      <w:b/>
      <w:bCs/>
      <w:color w:val="202A2E"/>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Newsreader" w:hAnsi="Newsreader"/>
      <w:b/>
      <w:bCs/>
      <w:color w:val="236A73"/>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IBM Plex Sans" w:hAnsi="IBM Plex Sans"/>
      <w:b/>
      <w:bCs/>
      <w:color w:val="3E4A4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before="0"/>
      <w:contextualSpacing/>
    </w:pPr>
    <w:rPr>
      <w:rFonts w:asciiTheme="majorHAnsi" w:eastAsiaTheme="majorEastAsia" w:hAnsiTheme="majorHAnsi" w:cstheme="majorBidi" w:ascii="Newsreader" w:hAnsi="Newsreader"/>
      <w:b/>
      <w:color w:val="202A2E"/>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80"/>
    </w:pPr>
    <w:rPr>
      <w:rFonts w:asciiTheme="majorHAnsi" w:eastAsiaTheme="majorEastAsia" w:hAnsiTheme="majorHAnsi" w:cstheme="majorBidi" w:ascii="IBM Plex Sans" w:hAnsi="IBM Plex Sans"/>
      <w:i/>
      <w:iCs/>
      <w:color w:val="3E4A4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7" w:hanging="274"/>
      <w:contextualSpacing/>
    </w:pPr>
    <w:rPr>
      <w:rFonts w:ascii="IBM Plex Sans" w:hAnsi="IBM Plex Sans"/>
      <w:color w:val="202A2E"/>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7" w:hanging="274"/>
      <w:contextualSpacing/>
    </w:pPr>
    <w:rPr>
      <w:rFonts w:ascii="IBM Plex Sans" w:hAnsi="IBM Plex Sans"/>
      <w:color w:val="202A2E"/>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before="80" w:after="80" w:line="252" w:lineRule="auto"/>
    </w:pPr>
    <w:rPr>
      <w:rFonts w:ascii="IBM Plex Sans" w:hAnsi="IBM Plex Sans"/>
      <w:i/>
      <w:color w:val="5D696D"/>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ChatGPT Forecast</dc:title>
  <dc:subject>Event, home-game, ISO-week, and weather context for micromobility demand</dc:subject>
  <dc:creator>Steven Needham</dc:creator>
  <cp:keywords>Columbus, micromobility, events, weather, ISO week, demand planning</cp:keywords>
  <dc:description>Independent project using public data only.</dc:description>
  <cp:lastModifiedBy/>
  <cp:revision>1</cp:revision>
  <dcterms:created xsi:type="dcterms:W3CDTF">2013-12-23T23:15:00Z</dcterms:created>
  <dcterms:modified xsi:type="dcterms:W3CDTF">2013-12-23T23:15:00Z</dcterms:modified>
  <cp:category/>
</cp:coreProperties>
</file>